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</w:p>
    <w:p>
      <w:pPr>
        <w:numPr>
          <w:numId w:val="0"/>
        </w:num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现场培训课程安排</w:t>
      </w:r>
    </w:p>
    <w:p>
      <w:pPr>
        <w:pStyle w:val="2"/>
        <w:numPr>
          <w:ilvl w:val="0"/>
          <w:numId w:val="0"/>
        </w:num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2025年第1期董事会秘书后续培训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（拟上市公司专场）</w:t>
      </w:r>
      <w:r>
        <w:rPr>
          <w:rFonts w:hint="eastAsia" w:ascii="仿宋" w:hAnsi="仿宋" w:eastAsia="仿宋" w:cs="仿宋"/>
          <w:b/>
          <w:sz w:val="32"/>
          <w:szCs w:val="32"/>
        </w:rPr>
        <w:t>课程表</w:t>
      </w:r>
    </w:p>
    <w:tbl>
      <w:tblPr>
        <w:tblStyle w:val="16"/>
        <w:tblpPr w:leftFromText="180" w:rightFromText="180" w:vertAnchor="text" w:horzAnchor="page" w:tblpXSpec="center" w:tblpY="533"/>
        <w:tblOverlap w:val="never"/>
        <w:tblW w:w="588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1641"/>
        <w:gridCol w:w="4350"/>
        <w:gridCol w:w="34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286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-342" w:rightChars="-163"/>
              <w:jc w:val="center"/>
              <w:textAlignment w:val="auto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时间</w:t>
            </w:r>
          </w:p>
        </w:tc>
        <w:tc>
          <w:tcPr>
            <w:tcW w:w="43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课程主题</w:t>
            </w:r>
          </w:p>
        </w:tc>
        <w:tc>
          <w:tcPr>
            <w:tcW w:w="3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嘉宾/授课老师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122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hint="default" w:ascii="Times New Roman" w:hAnsi="Times New Roman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27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lang w:val="en-US" w:eastAsia="zh-CN"/>
              </w:rPr>
              <w:t>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9443" w:type="dxa"/>
            <w:gridSpan w:val="3"/>
            <w:shd w:val="clear" w:color="auto" w:fill="A0A0A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left"/>
              <w:textAlignment w:val="auto"/>
              <w:rPr>
                <w:rFonts w:ascii="楷体" w:hAnsi="楷体" w:eastAsia="楷体"/>
                <w:b/>
                <w:spacing w:val="-20"/>
                <w:sz w:val="24"/>
                <w:szCs w:val="24"/>
              </w:rPr>
            </w:pPr>
            <w:r>
              <w:rPr>
                <w:rFonts w:hint="eastAsia" w:ascii="Times New Roman" w:hAnsi="Times New Roman" w:eastAsia="楷体" w:cs="Times New Roman"/>
                <w:b/>
                <w:bCs/>
                <w:sz w:val="24"/>
                <w:szCs w:val="24"/>
                <w:lang w:eastAsia="zh-CN"/>
              </w:rPr>
              <w:t>上</w:t>
            </w:r>
            <w:r>
              <w:rPr>
                <w:rFonts w:hint="default" w:ascii="Times New Roman" w:hAnsi="Times New Roman" w:eastAsia="楷体" w:cs="Times New Roman"/>
                <w:b/>
                <w:bCs/>
                <w:sz w:val="24"/>
                <w:szCs w:val="24"/>
              </w:rPr>
              <w:t>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hint="default" w:ascii="楷体" w:hAnsi="楷体" w:eastAsia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09：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00-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09：05</w:t>
            </w:r>
          </w:p>
        </w:tc>
        <w:tc>
          <w:tcPr>
            <w:tcW w:w="43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开班仪式</w:t>
            </w:r>
          </w:p>
        </w:tc>
        <w:tc>
          <w:tcPr>
            <w:tcW w:w="3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hint="default" w:ascii="楷体" w:hAnsi="楷体" w:eastAsia="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09:05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10:40</w:t>
            </w:r>
          </w:p>
        </w:tc>
        <w:tc>
          <w:tcPr>
            <w:tcW w:w="43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课程一: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楷体" w:hAnsi="楷体" w:eastAsia="楷体"/>
                <w:spacing w:val="-2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发行审核重点法律问题及案例解读</w:t>
            </w:r>
          </w:p>
        </w:tc>
        <w:tc>
          <w:tcPr>
            <w:tcW w:w="3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-199" w:leftChars="-95" w:firstLine="199" w:firstLineChars="83"/>
              <w:jc w:val="center"/>
              <w:textAlignment w:val="auto"/>
              <w:rPr>
                <w:rFonts w:hint="default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 xml:space="preserve">中伦律师事务所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10:50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12:0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0</w:t>
            </w:r>
          </w:p>
        </w:tc>
        <w:tc>
          <w:tcPr>
            <w:tcW w:w="43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课程二:</w:t>
            </w:r>
          </w:p>
          <w:p>
            <w:pPr>
              <w:spacing w:line="360" w:lineRule="auto"/>
              <w:jc w:val="center"/>
              <w:rPr>
                <w:rFonts w:hint="eastAsia" w:ascii="楷体" w:hAnsi="楷体" w:eastAsia="楷体"/>
                <w:spacing w:val="-2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ESG发展理念及拟上市企业的关注要点</w:t>
            </w:r>
          </w:p>
        </w:tc>
        <w:tc>
          <w:tcPr>
            <w:tcW w:w="3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-199" w:leftChars="-95" w:firstLine="199" w:firstLineChars="83"/>
              <w:jc w:val="center"/>
              <w:textAlignment w:val="auto"/>
              <w:rPr>
                <w:rFonts w:hint="default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 xml:space="preserve">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jc w:val="center"/>
        </w:trPr>
        <w:tc>
          <w:tcPr>
            <w:tcW w:w="1222" w:type="dxa"/>
            <w:vMerge w:val="continue"/>
            <w:shd w:val="clear" w:color="auto" w:fill="A4A4A4" w:themeFill="background1" w:themeFillShade="A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9443" w:type="dxa"/>
            <w:gridSpan w:val="3"/>
            <w:shd w:val="clear" w:color="auto" w:fill="A4A4A4" w:themeFill="background1" w:themeFillShade="A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left"/>
              <w:textAlignment w:val="auto"/>
              <w:rPr>
                <w:rFonts w:hint="eastAsia" w:ascii="Times New Roman" w:hAnsi="Times New Roman" w:eastAsia="楷体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b/>
                <w:bCs/>
                <w:sz w:val="24"/>
                <w:szCs w:val="24"/>
                <w:lang w:val="en-US" w:eastAsia="zh-CN"/>
              </w:rPr>
              <w:t>下午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14:00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15:20</w:t>
            </w:r>
          </w:p>
        </w:tc>
        <w:tc>
          <w:tcPr>
            <w:tcW w:w="43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课程三:</w:t>
            </w:r>
          </w:p>
          <w:p>
            <w:pPr>
              <w:spacing w:line="360" w:lineRule="auto"/>
              <w:jc w:val="center"/>
              <w:rPr>
                <w:rFonts w:hint="default" w:ascii="楷体" w:hAnsi="楷体" w:eastAsia="楷体" w:cstheme="minorBidi"/>
                <w:spacing w:val="-2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企业涉税最新政策要求及风险防范</w:t>
            </w:r>
          </w:p>
        </w:tc>
        <w:tc>
          <w:tcPr>
            <w:tcW w:w="3452" w:type="dxa"/>
            <w:vAlign w:val="center"/>
          </w:tcPr>
          <w:p>
            <w:pPr>
              <w:spacing w:line="360" w:lineRule="auto"/>
              <w:ind w:left="-199" w:leftChars="-95" w:firstLine="199" w:firstLineChars="83"/>
              <w:jc w:val="center"/>
              <w:rPr>
                <w:rFonts w:hint="default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中汇会计师事务所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15:30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17:00</w:t>
            </w:r>
          </w:p>
        </w:tc>
        <w:tc>
          <w:tcPr>
            <w:tcW w:w="43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课程四: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楷体" w:hAnsi="楷体" w:eastAsia="楷体" w:cstheme="minorBidi"/>
                <w:spacing w:val="-2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企业管理人员合规履职要求及风险防范</w:t>
            </w:r>
          </w:p>
        </w:tc>
        <w:tc>
          <w:tcPr>
            <w:tcW w:w="3452" w:type="dxa"/>
            <w:vAlign w:val="center"/>
          </w:tcPr>
          <w:p>
            <w:pPr>
              <w:spacing w:line="360" w:lineRule="auto"/>
              <w:ind w:left="-199" w:leftChars="-95" w:firstLine="199" w:firstLineChars="83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广东信达律师事务所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122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hint="default" w:ascii="Times New Roman" w:hAnsi="Times New Roman" w:eastAsia="楷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28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lang w:val="en-US" w:eastAsia="zh-CN"/>
              </w:rPr>
              <w:t>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9443" w:type="dxa"/>
            <w:gridSpan w:val="3"/>
            <w:shd w:val="clear" w:color="auto" w:fill="C0C0C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-199" w:leftChars="-95" w:firstLine="200" w:firstLineChars="83"/>
              <w:jc w:val="left"/>
              <w:textAlignment w:val="auto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楷体" w:cs="Times New Roman"/>
                <w:b/>
                <w:bCs/>
                <w:sz w:val="24"/>
                <w:szCs w:val="24"/>
                <w:lang w:val="en-US" w:eastAsia="zh-CN"/>
              </w:rPr>
              <w:t>上午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default" w:ascii="楷体" w:hAnsi="楷体" w:eastAsia="楷体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09: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00-1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0</w:t>
            </w:r>
          </w:p>
        </w:tc>
        <w:tc>
          <w:tcPr>
            <w:tcW w:w="43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课程五:</w:t>
            </w:r>
          </w:p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发行审核重点财务问题及案例解读</w:t>
            </w:r>
          </w:p>
        </w:tc>
        <w:tc>
          <w:tcPr>
            <w:tcW w:w="3452" w:type="dxa"/>
            <w:vAlign w:val="center"/>
          </w:tcPr>
          <w:p/>
          <w:p>
            <w:pPr>
              <w:spacing w:line="360" w:lineRule="auto"/>
              <w:ind w:left="-199" w:leftChars="-95" w:firstLine="199" w:firstLineChars="83"/>
              <w:jc w:val="center"/>
              <w:rPr>
                <w:rFonts w:hint="default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毕马威会计师事务所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" w:hAnsi="楷体" w:eastAsia="楷体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1:00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-1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2:0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0</w:t>
            </w:r>
          </w:p>
        </w:tc>
        <w:tc>
          <w:tcPr>
            <w:tcW w:w="4350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课程六:</w:t>
            </w:r>
          </w:p>
          <w:p>
            <w:pPr>
              <w:spacing w:line="360" w:lineRule="auto"/>
              <w:jc w:val="center"/>
              <w:rPr>
                <w:rFonts w:hint="default" w:ascii="楷体" w:hAnsi="楷体" w:eastAsia="楷体" w:cstheme="minorBidi"/>
                <w:spacing w:val="-2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生产性服务业如何推进新质生产力发展</w:t>
            </w:r>
          </w:p>
        </w:tc>
        <w:tc>
          <w:tcPr>
            <w:tcW w:w="3452" w:type="dxa"/>
            <w:vAlign w:val="center"/>
          </w:tcPr>
          <w:p>
            <w:pPr>
              <w:spacing w:line="360" w:lineRule="auto"/>
              <w:ind w:left="-199" w:leftChars="-95" w:firstLine="199" w:firstLineChars="83"/>
              <w:jc w:val="center"/>
              <w:rPr>
                <w:rFonts w:hint="default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国信证券经济研究所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9443" w:type="dxa"/>
            <w:gridSpan w:val="3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-199" w:leftChars="-95" w:firstLine="200" w:firstLineChars="83"/>
              <w:jc w:val="left"/>
              <w:textAlignment w:val="auto"/>
              <w:rPr>
                <w:rFonts w:hint="eastAsia" w:ascii="Times New Roman" w:hAnsi="Times New Roman" w:eastAsia="楷体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b/>
                <w:bCs/>
                <w:sz w:val="24"/>
                <w:szCs w:val="24"/>
                <w:lang w:val="en-US" w:eastAsia="zh-CN"/>
              </w:rPr>
              <w:t>下午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" w:hAnsi="楷体" w:eastAsia="楷体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14</w:t>
            </w:r>
            <w:r>
              <w:rPr>
                <w:rFonts w:hint="eastAsia" w:ascii="Times New Roman" w:hAnsi="Times New Roman" w:eastAsia="楷体" w:cs="Times New Roman"/>
                <w:sz w:val="24"/>
                <w:lang w:eastAsia="zh-CN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</w:rPr>
              <w:t>00-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楷体" w:cs="Times New Roman"/>
                <w:sz w:val="24"/>
                <w:lang w:eastAsia="zh-CN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30</w:t>
            </w:r>
          </w:p>
        </w:tc>
        <w:tc>
          <w:tcPr>
            <w:tcW w:w="43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课程七:</w:t>
            </w:r>
          </w:p>
          <w:p>
            <w:pPr>
              <w:spacing w:line="360" w:lineRule="auto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“并购六条”下的并购重组发展新趋势以及关注要点</w:t>
            </w:r>
          </w:p>
        </w:tc>
        <w:tc>
          <w:tcPr>
            <w:tcW w:w="3452" w:type="dxa"/>
            <w:vAlign w:val="center"/>
          </w:tcPr>
          <w:p>
            <w:pPr>
              <w:spacing w:line="360" w:lineRule="auto"/>
              <w:ind w:left="-199" w:leftChars="-95" w:firstLine="199" w:firstLineChars="83"/>
              <w:jc w:val="center"/>
              <w:rPr>
                <w:rFonts w:hint="default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313131"/>
                <w:kern w:val="0"/>
                <w:sz w:val="24"/>
                <w:szCs w:val="24"/>
                <w:lang w:val="en-US" w:eastAsia="zh-CN" w:bidi="ar-SA"/>
              </w:rPr>
              <w:t>中信建投投行委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22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right="25" w:rightChars="12"/>
              <w:jc w:val="center"/>
              <w:textAlignment w:val="auto"/>
              <w:rPr>
                <w:rFonts w:ascii="楷体_GB2312" w:hAnsi="宋体" w:eastAsia="楷体_GB2312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_GB2312" w:hAnsi="宋体" w:eastAsia="楷体_GB2312"/>
                <w:sz w:val="24"/>
                <w:szCs w:val="24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15</w:t>
            </w:r>
            <w:r>
              <w:rPr>
                <w:rFonts w:hint="default" w:ascii="Times New Roman" w:hAnsi="Times New Roman" w:eastAsia="楷体" w:cs="Times New Roman"/>
                <w:sz w:val="24"/>
                <w:lang w:eastAsia="zh-CN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30</w:t>
            </w:r>
            <w:r>
              <w:rPr>
                <w:rFonts w:hint="default" w:ascii="Times New Roman" w:hAnsi="Times New Roman" w:eastAsia="楷体" w:cs="Times New Roman"/>
                <w:sz w:val="24"/>
              </w:rPr>
              <w:t>-1</w:t>
            </w:r>
            <w:r>
              <w:rPr>
                <w:rFonts w:hint="eastAsia" w:ascii="Times New Roman" w:hAnsi="Times New Roman" w:eastAsia="楷体" w:cs="Times New Roman"/>
                <w:sz w:val="24"/>
                <w:lang w:val="en-US" w:eastAsia="zh-CN"/>
              </w:rPr>
              <w:t>6:00</w:t>
            </w:r>
          </w:p>
        </w:tc>
        <w:tc>
          <w:tcPr>
            <w:tcW w:w="7802" w:type="dxa"/>
            <w:gridSpan w:val="2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楷体_GB2312" w:hAnsi="宋体" w:eastAsia="楷体_GB2312"/>
                <w:spacing w:val="-20"/>
                <w:sz w:val="24"/>
                <w:szCs w:val="24"/>
              </w:rPr>
            </w:pPr>
            <w:r>
              <w:rPr>
                <w:rFonts w:hint="eastAsia" w:ascii="楷体_GB2312" w:hAnsi="宋体" w:eastAsia="楷体_GB2312"/>
                <w:spacing w:val="-20"/>
                <w:sz w:val="24"/>
              </w:rPr>
              <w:t>结业仪式</w:t>
            </w:r>
          </w:p>
        </w:tc>
      </w:tr>
    </w:tbl>
    <w:p>
      <w:pPr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sz w:val="28"/>
          <w:szCs w:val="28"/>
          <w:lang w:val="en-US" w:eastAsia="zh-CN"/>
        </w:rPr>
        <w:br w:type="page"/>
      </w:r>
    </w:p>
    <w:p>
      <w:pPr>
        <w:pStyle w:val="2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线上培训课程安排</w:t>
      </w:r>
    </w:p>
    <w:tbl>
      <w:tblPr>
        <w:tblStyle w:val="16"/>
        <w:tblpPr w:leftFromText="180" w:rightFromText="180" w:vertAnchor="text" w:horzAnchor="page" w:tblpX="810" w:tblpY="567"/>
        <w:tblOverlap w:val="never"/>
        <w:tblW w:w="100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200"/>
        <w:gridCol w:w="4031"/>
        <w:gridCol w:w="1641"/>
        <w:gridCol w:w="1912"/>
        <w:gridCol w:w="72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>课程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 w:bidi="ar"/>
              </w:rPr>
              <w:t>模块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>课程主题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>授课老师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>学时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政策法规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上市公司信息披露自律监管规则解读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杨雷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深交所公司二部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公司治理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新《公司法》下股东权益保护的亮点与实务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温晗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中伦律所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新《公司法》对上市公司年报公司治理披露事项的影响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刘胤宏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金诚同达律所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重大事项管理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公司治理与规范运作规则解读及监管重点解析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张玲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深交所公司二部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2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募集资金的使用与管理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金祥慧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天册律所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2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上市公司对外担保的合规要求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黄晓静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国枫律所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2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资金占用和违规担保相关规定解读和警示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钟俊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容诚会所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12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业绩承诺和经营权法律问题初探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钱俊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环球律所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并购重组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上市公司并购重组相关政策解读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邵军鹏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深交所创业板部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12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被并购方的信息披露义务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周燕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华商律所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12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上市公司并购重组法律法规体系介绍及解读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范朝霞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德恒律所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12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创业板上市公司并购重组与再融资政策解读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王黎光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深交所创业板部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13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改制上市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被并购企业的合规化整合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卢丁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国浩律所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14</w:t>
            </w:r>
          </w:p>
        </w:tc>
        <w:tc>
          <w:tcPr>
            <w:tcW w:w="120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境内并购重组法律尽职调查实务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陈成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国枫律所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15</w:t>
            </w:r>
          </w:p>
        </w:tc>
        <w:tc>
          <w:tcPr>
            <w:tcW w:w="120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全面注册制下的“持续经营能力”要求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叶凯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金杜律所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16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违法违规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注册制IPO定价的关注要点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郭昱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国信证券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17</w:t>
            </w: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非上市公司股权的估值技术问题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谢树志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容诚会所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18</w:t>
            </w: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证券领域第三方配合造假风险与防范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刘涛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国枫律所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19</w:t>
            </w: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违法违规典型案例分析-规范运作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蔡晨程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嘉源律所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20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内部控制及风险管理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上市公司利益输送违法违规问题分析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肖春晖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中伦律所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财务会计报告违规典型案例评析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夏东霞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金杜律所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政策法规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融资性贸易的风险管理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王帅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致同会所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 w:bidi="ar"/>
              </w:rPr>
              <w:t>公司治理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大数据时代企业风险预警与业务风险管理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杨芳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立信锐思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</w:tr>
    </w:tbl>
    <w:p>
      <w:pPr>
        <w:numPr>
          <w:ilvl w:val="-1"/>
          <w:numId w:val="0"/>
        </w:numPr>
        <w:rPr>
          <w:rFonts w:hint="eastAsia" w:ascii="黑体" w:hAnsi="黑体" w:eastAsia="黑体" w:cs="黑体"/>
          <w:sz w:val="24"/>
          <w:szCs w:val="24"/>
          <w:lang w:val="en-US" w:eastAsia="zh-CN"/>
        </w:rPr>
      </w:pPr>
    </w:p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br w:type="page"/>
      </w:r>
    </w:p>
    <w:p>
      <w:pPr>
        <w:numPr>
          <w:ilvl w:val="-1"/>
          <w:numId w:val="0"/>
        </w:num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三、住宿预订</w:t>
      </w:r>
    </w:p>
    <w:p>
      <w:pPr>
        <w:spacing w:line="560" w:lineRule="exact"/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本期培训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可提供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住宿，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费用自理。学员可在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报名表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中选择是否需要预订房间。住宿地点为：资本市场学院学员公寓，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协议价为：大床房 560元/间/晚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、标间600元/间/晚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。学员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也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可自行安排住宿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住宿费用于办理入住时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向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资本市场学院缴纳。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如需取消住宿预订，请在提前3个工作日发送邮件至chenbo@szse.cn。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Times New Roman" w:hAnsi="Times New Roman" w:eastAsia="方正仿宋简体" w:cs="Times New Roman"/>
          <w:b w:val="0"/>
          <w:bCs w:val="0"/>
          <w:color w:val="313131"/>
          <w:kern w:val="0"/>
          <w:sz w:val="32"/>
          <w:szCs w:val="32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b w:val="0"/>
          <w:bCs w:val="0"/>
          <w:color w:val="313131"/>
          <w:kern w:val="0"/>
          <w:sz w:val="32"/>
          <w:szCs w:val="32"/>
          <w:highlight w:val="none"/>
          <w:lang w:val="en-US" w:eastAsia="zh-CN" w:bidi="ar-SA"/>
        </w:rPr>
        <w:t>声明：培训主办方仅提供资本市场学院院内房间的协议价格，并非强制安排，学员可根据自身需求自由安排住宿。如学员因自身原因出现未能成功预订房间、房间担保费用无法退回等情形，责任自负，与培训主办方无关。</w:t>
      </w:r>
    </w:p>
    <w:sectPr>
      <w:footerReference r:id="rId3" w:type="default"/>
      <w:type w:val="continuous"/>
      <w:pgSz w:w="11906" w:h="16838"/>
      <w:pgMar w:top="2098" w:right="1474" w:bottom="1985" w:left="1588" w:header="851" w:footer="992" w:gutter="0"/>
      <w:cols w:space="0" w:num="1"/>
      <w:docGrid w:type="lines" w:linePitch="31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1ECE3C"/>
    <w:multiLevelType w:val="singleLevel"/>
    <w:tmpl w:val="1C1ECE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313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A6203"/>
    <w:rsid w:val="02F96B73"/>
    <w:rsid w:val="078556F2"/>
    <w:rsid w:val="09FE3339"/>
    <w:rsid w:val="0A2D24DF"/>
    <w:rsid w:val="0C2F6A9A"/>
    <w:rsid w:val="0D082A6E"/>
    <w:rsid w:val="0E90633B"/>
    <w:rsid w:val="0F004EFD"/>
    <w:rsid w:val="11B05D16"/>
    <w:rsid w:val="165543F4"/>
    <w:rsid w:val="1CD5333A"/>
    <w:rsid w:val="24462612"/>
    <w:rsid w:val="24B4589D"/>
    <w:rsid w:val="27466E27"/>
    <w:rsid w:val="28C458D9"/>
    <w:rsid w:val="2BAE1BB9"/>
    <w:rsid w:val="2BD36742"/>
    <w:rsid w:val="30CD0C57"/>
    <w:rsid w:val="32F06442"/>
    <w:rsid w:val="35A422D7"/>
    <w:rsid w:val="35B3063E"/>
    <w:rsid w:val="37AD2D48"/>
    <w:rsid w:val="400A6ABB"/>
    <w:rsid w:val="40811DA4"/>
    <w:rsid w:val="45973966"/>
    <w:rsid w:val="4D0D7491"/>
    <w:rsid w:val="50A83C40"/>
    <w:rsid w:val="587F7A1C"/>
    <w:rsid w:val="58BA00A1"/>
    <w:rsid w:val="62C43A31"/>
    <w:rsid w:val="63421D1A"/>
    <w:rsid w:val="6985202B"/>
    <w:rsid w:val="6D5A0918"/>
    <w:rsid w:val="6E1D6413"/>
    <w:rsid w:val="73122E4E"/>
    <w:rsid w:val="74003100"/>
    <w:rsid w:val="7B2413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140" w:after="14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360" w:lineRule="auto"/>
      <w:outlineLvl w:val="2"/>
    </w:pPr>
    <w:rPr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7" w:lineRule="auto"/>
      <w:outlineLvl w:val="3"/>
    </w:pPr>
    <w:rPr>
      <w:rFonts w:ascii="Arial" w:hAnsi="Arial" w:eastAsiaTheme="majorEastAsia"/>
      <w:b/>
      <w:sz w:val="28"/>
    </w:rPr>
  </w:style>
  <w:style w:type="character" w:default="1" w:styleId="17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6">
    <w:name w:val="annotation text"/>
    <w:basedOn w:val="1"/>
    <w:link w:val="23"/>
    <w:qFormat/>
    <w:uiPriority w:val="0"/>
    <w:pPr>
      <w:jc w:val="left"/>
    </w:pPr>
  </w:style>
  <w:style w:type="paragraph" w:styleId="7">
    <w:name w:val="toc 3"/>
    <w:basedOn w:val="1"/>
    <w:next w:val="1"/>
    <w:qFormat/>
    <w:uiPriority w:val="0"/>
    <w:pPr>
      <w:widowControl/>
      <w:spacing w:after="100" w:line="259" w:lineRule="auto"/>
      <w:ind w:left="440"/>
      <w:jc w:val="left"/>
    </w:pPr>
    <w:rPr>
      <w:rFonts w:ascii="Times New Roman" w:hAnsi="Times New Roman" w:eastAsia="宋体" w:cs="Times New Roman"/>
      <w:kern w:val="0"/>
      <w:sz w:val="24"/>
    </w:rPr>
  </w:style>
  <w:style w:type="paragraph" w:styleId="8">
    <w:name w:val="Balloon Text"/>
    <w:basedOn w:val="1"/>
    <w:link w:val="22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  <w:pPr>
      <w:widowControl/>
      <w:spacing w:after="100" w:line="260" w:lineRule="auto"/>
      <w:jc w:val="left"/>
    </w:pPr>
    <w:rPr>
      <w:rFonts w:ascii="Times New Roman" w:hAnsi="Times New Roman" w:cs="Times New Roman"/>
      <w:kern w:val="0"/>
      <w:sz w:val="30"/>
    </w:rPr>
  </w:style>
  <w:style w:type="paragraph" w:styleId="12">
    <w:name w:val="toc 4"/>
    <w:basedOn w:val="1"/>
    <w:next w:val="1"/>
    <w:qFormat/>
    <w:uiPriority w:val="0"/>
    <w:pPr>
      <w:ind w:left="1260" w:leftChars="600"/>
    </w:pPr>
    <w:rPr>
      <w:rFonts w:ascii="Times New Roman" w:hAnsi="Times New Roman"/>
      <w:sz w:val="24"/>
    </w:rPr>
  </w:style>
  <w:style w:type="paragraph" w:styleId="13">
    <w:name w:val="toc 2"/>
    <w:basedOn w:val="1"/>
    <w:next w:val="1"/>
    <w:qFormat/>
    <w:uiPriority w:val="39"/>
    <w:pPr>
      <w:widowControl/>
      <w:spacing w:after="100" w:line="260" w:lineRule="auto"/>
      <w:ind w:left="221"/>
      <w:jc w:val="left"/>
    </w:pPr>
    <w:rPr>
      <w:rFonts w:ascii="Times New Roman" w:hAnsi="Times New Roman" w:cs="Times New Roman"/>
      <w:kern w:val="0"/>
      <w:sz w:val="2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annotation subject"/>
    <w:basedOn w:val="6"/>
    <w:next w:val="6"/>
    <w:link w:val="24"/>
    <w:qFormat/>
    <w:uiPriority w:val="0"/>
    <w:rPr>
      <w:b/>
      <w:bCs/>
    </w:r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Hyperlink"/>
    <w:basedOn w:val="17"/>
    <w:unhideWhenUsed/>
    <w:qFormat/>
    <w:uiPriority w:val="99"/>
  </w:style>
  <w:style w:type="character" w:styleId="20">
    <w:name w:val="annotation reference"/>
    <w:basedOn w:val="17"/>
    <w:qFormat/>
    <w:uiPriority w:val="0"/>
    <w:rPr>
      <w:sz w:val="21"/>
      <w:szCs w:val="21"/>
    </w:rPr>
  </w:style>
  <w:style w:type="paragraph" w:customStyle="1" w:styleId="21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22">
    <w:name w:val="批注框文本 Char"/>
    <w:basedOn w:val="17"/>
    <w:link w:val="8"/>
    <w:qFormat/>
    <w:uiPriority w:val="0"/>
    <w:rPr>
      <w:kern w:val="2"/>
      <w:sz w:val="18"/>
      <w:szCs w:val="18"/>
    </w:rPr>
  </w:style>
  <w:style w:type="character" w:customStyle="1" w:styleId="23">
    <w:name w:val="批注文字 Char"/>
    <w:basedOn w:val="17"/>
    <w:link w:val="6"/>
    <w:qFormat/>
    <w:uiPriority w:val="0"/>
    <w:rPr>
      <w:kern w:val="2"/>
      <w:sz w:val="21"/>
      <w:szCs w:val="22"/>
    </w:rPr>
  </w:style>
  <w:style w:type="character" w:customStyle="1" w:styleId="24">
    <w:name w:val="批注主题 Char"/>
    <w:basedOn w:val="23"/>
    <w:link w:val="15"/>
    <w:qFormat/>
    <w:uiPriority w:val="0"/>
    <w:rPr>
      <w:b/>
      <w:bCs/>
      <w:kern w:val="2"/>
      <w:sz w:val="21"/>
      <w:szCs w:val="22"/>
    </w:rPr>
  </w:style>
  <w:style w:type="paragraph" w:customStyle="1" w:styleId="2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4</Pages>
  <Words>83</Words>
  <Characters>475</Characters>
  <Lines>3</Lines>
  <Paragraphs>1</Paragraphs>
  <TotalTime>1</TotalTime>
  <ScaleCrop>false</ScaleCrop>
  <LinksUpToDate>false</LinksUpToDate>
  <CharactersWithSpaces>557</CharactersWithSpaces>
  <Application>WPS Office_11.8.0.17013_F1E327BC-269C-435d-A152-05C5408002CA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2020-12-29T16:51:00Z</dcterms:created>
  <dc:creator>Gaby</dc:creator>
  <cp:lastModifiedBy>谌波</cp:lastModifiedBy>
  <cp:lastPrinted>2020-08-20T14:04:00Z</cp:lastPrinted>
  <dcterms:modified xsi:type="dcterms:W3CDTF">2025-08-15T07:19:31Z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2052-11.8.0.17013</vt:lpwstr>
  </property>
  <property fmtid="{D5CDD505-2E9C-101B-9397-08002B2CF9AE}" pid="3" name="ContentTypeId">
    <vt:lpwstr>0x010100D480D1FAF84903439A070A4D5DA572B3</vt:lpwstr>
  </property>
  <property fmtid="{D5CDD505-2E9C-101B-9397-08002B2CF9AE}" pid="4" name="ICV">
    <vt:lpwstr>7543CA0132EA441D8F233C3354952D3F</vt:lpwstr>
  </property>
</Properties>
</file>