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6" w:beforeLines="100" w:after="316" w:afterLines="100" w:line="560" w:lineRule="exact"/>
        <w:jc w:val="center"/>
        <w:textAlignment w:val="center"/>
        <w:rPr>
          <w:rFonts w:ascii="Times New Roman" w:hAnsi="Times New Roman" w:eastAsia="方正小标宋简体"/>
          <w:color w:val="000000"/>
          <w:spacing w:val="12"/>
          <w:sz w:val="44"/>
          <w:szCs w:val="44"/>
          <w:highlight w:val="none"/>
        </w:rPr>
      </w:pPr>
      <w:bookmarkStart w:id="6" w:name="_GoBack"/>
      <w:bookmarkEnd w:id="6"/>
      <w:r>
        <w:rPr>
          <w:rFonts w:ascii="Times New Roman" w:hAnsi="Times New Roman" w:eastAsia="方正小标宋简体"/>
          <w:color w:val="000000"/>
          <w:spacing w:val="12"/>
          <w:sz w:val="44"/>
          <w:szCs w:val="44"/>
          <w:highlight w:val="none"/>
        </w:rPr>
        <w:drawing>
          <wp:anchor distT="0" distB="0" distL="114300" distR="114300" simplePos="0" relativeHeight="251662336" behindDoc="0" locked="0" layoutInCell="1" allowOverlap="1">
            <wp:simplePos x="0" y="0"/>
            <wp:positionH relativeFrom="column">
              <wp:posOffset>-8840470</wp:posOffset>
            </wp:positionH>
            <wp:positionV relativeFrom="page">
              <wp:posOffset>-102235</wp:posOffset>
            </wp:positionV>
            <wp:extent cx="15362555" cy="1042543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2789" cy="10425634"/>
                    </a:xfrm>
                    <a:prstGeom prst="rect">
                      <a:avLst/>
                    </a:prstGeom>
                  </pic:spPr>
                </pic:pic>
              </a:graphicData>
            </a:graphic>
          </wp:anchor>
        </w:drawing>
      </w:r>
      <w:r>
        <w:rPr>
          <w:rFonts w:ascii="Times New Roman" w:hAnsi="Times New Roman" w:eastAsia="方正小标宋简体"/>
          <w:color w:val="000000"/>
          <w:spacing w:val="12"/>
          <w:sz w:val="44"/>
          <w:szCs w:val="44"/>
          <w:highlight w:val="none"/>
        </w:rPr>
        <mc:AlternateContent>
          <mc:Choice Requires="wps">
            <w:drawing>
              <wp:anchor distT="0" distB="0" distL="114300" distR="114300" simplePos="0" relativeHeight="251667456" behindDoc="0" locked="0" layoutInCell="1" allowOverlap="1">
                <wp:simplePos x="0" y="0"/>
                <wp:positionH relativeFrom="column">
                  <wp:posOffset>2244725</wp:posOffset>
                </wp:positionH>
                <wp:positionV relativeFrom="paragraph">
                  <wp:posOffset>1941195</wp:posOffset>
                </wp:positionV>
                <wp:extent cx="2308225" cy="441960"/>
                <wp:effectExtent l="0" t="0" r="0" b="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08072" cy="442032"/>
                        </a:xfrm>
                        <a:prstGeom prst="rect">
                          <a:avLst/>
                        </a:prstGeom>
                        <a:solidFill>
                          <a:srgbClr val="FFFFFF"/>
                        </a:solidFill>
                        <a:ln w="9525">
                          <a:noFill/>
                          <a:miter lim="800000"/>
                        </a:ln>
                      </wps:spPr>
                      <wps:txbx>
                        <w:txbxContent>
                          <w:p>
                            <w:pPr>
                              <w:rPr>
                                <w:rFonts w:ascii="楷体" w:hAnsi="楷体" w:eastAsia="楷体"/>
                                <w:b/>
                                <w:sz w:val="28"/>
                                <w:szCs w:val="28"/>
                              </w:rPr>
                            </w:pPr>
                            <w:r>
                              <w:rPr>
                                <w:rFonts w:hint="eastAsia" w:ascii="楷体" w:hAnsi="楷体" w:eastAsia="楷体"/>
                                <w:b/>
                                <w:sz w:val="28"/>
                                <w:szCs w:val="28"/>
                              </w:rPr>
                              <w:t>202</w:t>
                            </w:r>
                            <w:r>
                              <w:rPr>
                                <w:rFonts w:hint="default" w:ascii="楷体" w:hAnsi="楷体" w:eastAsia="楷体"/>
                                <w:b/>
                                <w:sz w:val="28"/>
                                <w:szCs w:val="28"/>
                                <w:lang w:val="en-US"/>
                              </w:rPr>
                              <w:t>4</w:t>
                            </w:r>
                            <w:r>
                              <w:rPr>
                                <w:rFonts w:hint="eastAsia" w:ascii="楷体" w:hAnsi="楷体" w:eastAsia="楷体"/>
                                <w:b/>
                                <w:sz w:val="28"/>
                                <w:szCs w:val="28"/>
                              </w:rPr>
                              <w:t>年第</w:t>
                            </w:r>
                            <w:r>
                              <w:rPr>
                                <w:rFonts w:hint="default" w:ascii="楷体" w:hAnsi="楷体" w:eastAsia="楷体"/>
                                <w:b/>
                                <w:sz w:val="28"/>
                                <w:szCs w:val="28"/>
                                <w:lang w:val="en-US" w:eastAsia="zh-CN"/>
                              </w:rPr>
                              <w:t>2</w:t>
                            </w:r>
                            <w:r>
                              <w:rPr>
                                <w:rFonts w:hint="eastAsia" w:ascii="楷体" w:hAnsi="楷体" w:eastAsia="楷体"/>
                                <w:b/>
                                <w:sz w:val="28"/>
                                <w:szCs w:val="28"/>
                              </w:rPr>
                              <w:t>期（总第</w:t>
                            </w:r>
                            <w:r>
                              <w:rPr>
                                <w:rFonts w:hint="default" w:ascii="楷体" w:hAnsi="楷体" w:eastAsia="楷体"/>
                                <w:b/>
                                <w:sz w:val="28"/>
                                <w:szCs w:val="28"/>
                                <w:lang w:val="en-US" w:eastAsia="zh-CN"/>
                              </w:rPr>
                              <w:t>8</w:t>
                            </w:r>
                            <w:r>
                              <w:rPr>
                                <w:rFonts w:hint="eastAsia" w:ascii="楷体" w:hAnsi="楷体" w:eastAsia="楷体"/>
                                <w:b/>
                                <w:sz w:val="28"/>
                                <w:szCs w:val="28"/>
                              </w:rPr>
                              <w:t>期）</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6.75pt;margin-top:152.85pt;height:34.8pt;width:181.75pt;z-index:251667456;mso-width-relative:page;mso-height-relative:page;" fillcolor="#FFFFFF" filled="t" stroked="f" coordsize="21600,21600" o:gfxdata="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K1Wk2AAAAAsBAAAPAAAAAAAAAAEAIAAAACIAAABkcnMvZG93&#10;bnJldi54bWxQSwECFAAUAAAACACHTuJAfSLEWjkCAABSBAAADgAAAAAAAAABACAAAAAnAQAAZHJz&#10;L2Uyb0RvYy54bWxQSwUGAAAAAAYABgBZAQAA0gUAAAAA&#10;">
                <v:fill on="t" focussize="0,0"/>
                <v:stroke on="f" miterlimit="8" joinstyle="miter"/>
                <v:imagedata o:title=""/>
                <o:lock v:ext="edit" aspectratio="f"/>
                <v:textbox>
                  <w:txbxContent>
                    <w:p>
                      <w:pPr>
                        <w:rPr>
                          <w:rFonts w:ascii="楷体" w:hAnsi="楷体" w:eastAsia="楷体"/>
                          <w:b/>
                          <w:sz w:val="28"/>
                          <w:szCs w:val="28"/>
                        </w:rPr>
                      </w:pPr>
                      <w:r>
                        <w:rPr>
                          <w:rFonts w:hint="eastAsia" w:ascii="楷体" w:hAnsi="楷体" w:eastAsia="楷体"/>
                          <w:b/>
                          <w:sz w:val="28"/>
                          <w:szCs w:val="28"/>
                        </w:rPr>
                        <w:t>202</w:t>
                      </w:r>
                      <w:r>
                        <w:rPr>
                          <w:rFonts w:hint="default" w:ascii="楷体" w:hAnsi="楷体" w:eastAsia="楷体"/>
                          <w:b/>
                          <w:sz w:val="28"/>
                          <w:szCs w:val="28"/>
                          <w:lang w:val="en-US"/>
                        </w:rPr>
                        <w:t>4</w:t>
                      </w:r>
                      <w:r>
                        <w:rPr>
                          <w:rFonts w:hint="eastAsia" w:ascii="楷体" w:hAnsi="楷体" w:eastAsia="楷体"/>
                          <w:b/>
                          <w:sz w:val="28"/>
                          <w:szCs w:val="28"/>
                        </w:rPr>
                        <w:t>年第</w:t>
                      </w:r>
                      <w:r>
                        <w:rPr>
                          <w:rFonts w:hint="default" w:ascii="楷体" w:hAnsi="楷体" w:eastAsia="楷体"/>
                          <w:b/>
                          <w:sz w:val="28"/>
                          <w:szCs w:val="28"/>
                          <w:lang w:val="en-US" w:eastAsia="zh-CN"/>
                        </w:rPr>
                        <w:t>2</w:t>
                      </w:r>
                      <w:r>
                        <w:rPr>
                          <w:rFonts w:hint="eastAsia" w:ascii="楷体" w:hAnsi="楷体" w:eastAsia="楷体"/>
                          <w:b/>
                          <w:sz w:val="28"/>
                          <w:szCs w:val="28"/>
                        </w:rPr>
                        <w:t>期（总第</w:t>
                      </w:r>
                      <w:r>
                        <w:rPr>
                          <w:rFonts w:hint="default" w:ascii="楷体" w:hAnsi="楷体" w:eastAsia="楷体"/>
                          <w:b/>
                          <w:sz w:val="28"/>
                          <w:szCs w:val="28"/>
                          <w:lang w:val="en-US" w:eastAsia="zh-CN"/>
                        </w:rPr>
                        <w:t>8</w:t>
                      </w:r>
                      <w:r>
                        <w:rPr>
                          <w:rFonts w:hint="eastAsia" w:ascii="楷体" w:hAnsi="楷体" w:eastAsia="楷体"/>
                          <w:b/>
                          <w:sz w:val="28"/>
                          <w:szCs w:val="28"/>
                        </w:rPr>
                        <w:t>期）</w:t>
                      </w:r>
                    </w:p>
                  </w:txbxContent>
                </v:textbox>
              </v:shape>
            </w:pict>
          </mc:Fallback>
        </mc:AlternateContent>
      </w:r>
    </w:p>
    <w:p>
      <w:pPr>
        <w:spacing w:before="158" w:beforeLines="50" w:line="560" w:lineRule="exact"/>
        <w:ind w:right="1049"/>
        <w:jc w:val="right"/>
        <w:textAlignment w:val="center"/>
        <w:rPr>
          <w:rFonts w:ascii="Times New Roman" w:hAnsi="Times New Roman" w:eastAsia="方正小标宋简体"/>
          <w:b/>
          <w:bCs/>
          <w:spacing w:val="312"/>
          <w:kern w:val="0"/>
          <w:sz w:val="56"/>
          <w:szCs w:val="56"/>
          <w:highlight w:val="none"/>
        </w:rPr>
        <w:sectPr>
          <w:headerReference r:id="rId3" w:type="default"/>
          <w:footerReference r:id="rId4" w:type="default"/>
          <w:pgSz w:w="11906" w:h="16157"/>
          <w:pgMar w:top="1440" w:right="1800" w:bottom="1440" w:left="1800" w:header="964" w:footer="1077" w:gutter="0"/>
          <w:cols w:space="0" w:num="1"/>
          <w:docGrid w:type="lines" w:linePitch="316" w:charSpace="0"/>
        </w:sectPr>
      </w:pPr>
    </w:p>
    <w:p>
      <w:pPr>
        <w:spacing w:before="158" w:beforeLines="50" w:after="158" w:afterLines="50" w:line="560" w:lineRule="exact"/>
        <w:jc w:val="center"/>
        <w:textAlignment w:val="center"/>
        <w:rPr>
          <w:rFonts w:ascii="Times New Roman" w:hAnsi="Times New Roman" w:eastAsia="方正小标宋简体"/>
          <w:b/>
          <w:bCs/>
          <w:sz w:val="48"/>
          <w:szCs w:val="48"/>
          <w:highlight w:val="none"/>
        </w:rPr>
      </w:pPr>
      <w:r>
        <w:rPr>
          <w:rFonts w:ascii="Times New Roman" w:hAnsi="Times New Roman" w:eastAsia="方正小标宋简体" w:cs="Times New Roman"/>
          <w:b/>
          <w:bCs/>
          <w:spacing w:val="37"/>
          <w:kern w:val="0"/>
          <w:sz w:val="52"/>
          <w:szCs w:val="52"/>
          <w:highlight w:val="none"/>
          <w:fitText w:val="8224" w:id="-1776563968"/>
        </w:rPr>
        <mc:AlternateContent>
          <mc:Choice Requires="wps">
            <w:drawing>
              <wp:anchor distT="0" distB="0" distL="114300" distR="114300" simplePos="0" relativeHeight="251659264" behindDoc="0" locked="0" layoutInCell="1" allowOverlap="1">
                <wp:simplePos x="0" y="0"/>
                <wp:positionH relativeFrom="column">
                  <wp:posOffset>3927475</wp:posOffset>
                </wp:positionH>
                <wp:positionV relativeFrom="paragraph">
                  <wp:posOffset>-5476875</wp:posOffset>
                </wp:positionV>
                <wp:extent cx="2374265" cy="140398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ln>
                      </wps:spPr>
                      <wps:txbx>
                        <w:txbxContent>
                          <w:p>
                            <w:pPr>
                              <w:rPr>
                                <w:rFonts w:ascii="楷体" w:hAnsi="楷体" w:eastAsia="楷体"/>
                                <w:b/>
                                <w:sz w:val="24"/>
                              </w:rPr>
                            </w:pPr>
                            <w:r>
                              <w:rPr>
                                <w:rFonts w:hint="eastAsia" w:ascii="楷体" w:hAnsi="楷体" w:eastAsia="楷体"/>
                                <w:b/>
                                <w:sz w:val="24"/>
                              </w:rPr>
                              <w:t>2021年第5期（总第11期）</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309.25pt;margin-top:-431.25pt;height:110.55pt;width:186.95pt;z-index:251659264;mso-width-relative:margin;mso-height-relative:margin;mso-width-percent:400;mso-height-percent:200;" filled="f" stroked="f" coordsize="21600,21600" o:gfxdata="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NwsT2gAAAA0BAAAPAAAAAAAAAAEAIAAAACIAAABkcnMvZG93bnJldi54bWxQSwECFAAU&#10;AAAACACHTuJA6QnjLCgCAAAsBAAADgAAAAAAAAABACAAAAApAQAAZHJzL2Uyb0RvYy54bWxQSwUG&#10;AAAAAAYABgBZAQAAwwUAAAAA&#10;">
                <v:fill on="f" focussize="0,0"/>
                <v:stroke on="f" miterlimit="8" joinstyle="miter"/>
                <v:imagedata o:title=""/>
                <o:lock v:ext="edit" aspectratio="f"/>
                <v:textbox style="mso-fit-shape-to-text:t;">
                  <w:txbxContent>
                    <w:p>
                      <w:pPr>
                        <w:rPr>
                          <w:rFonts w:ascii="楷体" w:hAnsi="楷体" w:eastAsia="楷体"/>
                          <w:b/>
                          <w:sz w:val="24"/>
                        </w:rPr>
                      </w:pPr>
                      <w:r>
                        <w:rPr>
                          <w:rFonts w:hint="eastAsia" w:ascii="楷体" w:hAnsi="楷体" w:eastAsia="楷体"/>
                          <w:b/>
                          <w:sz w:val="24"/>
                        </w:rPr>
                        <w:t>2021年第5期（总第11期）</w:t>
                      </w:r>
                    </w:p>
                  </w:txbxContent>
                </v:textbox>
              </v:shape>
            </w:pict>
          </mc:Fallback>
        </mc:AlternateContent>
      </w:r>
      <w:r>
        <w:rPr>
          <w:rFonts w:hint="eastAsia" w:ascii="Times New Roman" w:hAnsi="Times New Roman" w:eastAsia="方正小标宋简体" w:cs="Times New Roman"/>
          <w:b/>
          <w:bCs/>
          <w:spacing w:val="61"/>
          <w:kern w:val="0"/>
          <w:sz w:val="52"/>
          <w:szCs w:val="52"/>
          <w:highlight w:val="none"/>
          <w:fitText w:val="8224" w:id="-1776563968"/>
        </w:rPr>
        <w:t>深圳证券交易所会计监管动</w:t>
      </w:r>
      <w:r>
        <w:rPr>
          <w:rFonts w:hint="eastAsia" w:ascii="Times New Roman" w:hAnsi="Times New Roman" w:eastAsia="方正小标宋简体" w:cs="Times New Roman"/>
          <w:b/>
          <w:bCs/>
          <w:spacing w:val="0"/>
          <w:kern w:val="0"/>
          <w:sz w:val="52"/>
          <w:szCs w:val="52"/>
          <w:highlight w:val="none"/>
          <w:fitText w:val="8224" w:id="-1776563968"/>
        </w:rPr>
        <w:t>态</w:t>
      </w:r>
      <w:r>
        <w:rPr>
          <w:rFonts w:ascii="Times New Roman" w:hAnsi="Times New Roman" w:eastAsia="Noto Sans Mono CJK JP Bold"/>
          <w:sz w:val="48"/>
          <w:szCs w:val="48"/>
          <w:highlight w:val="none"/>
        </w:rPr>
        <mc:AlternateContent>
          <mc:Choice Requires="wps">
            <w:drawing>
              <wp:anchor distT="0" distB="0" distL="114300" distR="114300" simplePos="0" relativeHeight="251660288" behindDoc="1" locked="0" layoutInCell="1" allowOverlap="1">
                <wp:simplePos x="0" y="0"/>
                <wp:positionH relativeFrom="page">
                  <wp:posOffset>946150</wp:posOffset>
                </wp:positionH>
                <wp:positionV relativeFrom="paragraph">
                  <wp:posOffset>543560</wp:posOffset>
                </wp:positionV>
                <wp:extent cx="5769610" cy="40640"/>
                <wp:effectExtent l="19050" t="19050" r="21590" b="1651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5769610" cy="40640"/>
                        </a:xfrm>
                        <a:prstGeom prst="rect">
                          <a:avLst/>
                        </a:prstGeom>
                        <a:solidFill>
                          <a:srgbClr val="E6E7E8"/>
                        </a:solidFill>
                        <a:ln w="38100">
                          <a:solidFill>
                            <a:schemeClr val="bg1">
                              <a:lumMod val="85000"/>
                            </a:schemeClr>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4.5pt;margin-top:42.8pt;height:3.2pt;width:454.3pt;mso-position-horizontal-relative:page;z-index:-251656192;mso-width-relative:page;mso-height-relative:page;" fillcolor="#E6E7E8" filled="t" stroked="t" coordsize="21600,21600" o:gfxdata="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xJ7uQ2AAAAAoBAAAPAAAAAAAA&#10;AAEAIAAAACIAAABkcnMvZG93bnJldi54bWxQSwECFAAUAAAACACHTuJAZCxAP0sCAACRBAAADgAA&#10;AAAAAAABACAAAAAnAQAAZHJzL2Uyb0RvYy54bWxQSwUGAAAAAAYABgBZAQAA5AUAAAAA&#10;">
                <v:fill on="t" focussize="0,0"/>
                <v:stroke weight="3pt" color="#D9D9D9 [2732]" miterlimit="8" joinstyle="miter"/>
                <v:imagedata o:title=""/>
                <o:lock v:ext="edit" aspectratio="f"/>
              </v:rect>
            </w:pict>
          </mc:Fallback>
        </mc:AlternateContent>
      </w:r>
    </w:p>
    <w:p>
      <w:pPr>
        <w:pStyle w:val="2"/>
        <w:spacing w:line="560" w:lineRule="exact"/>
        <w:ind w:left="5250"/>
        <w:jc w:val="both"/>
        <w:textAlignment w:val="center"/>
        <w:rPr>
          <w:rFonts w:ascii="Times New Roman" w:hAnsi="Times New Roman"/>
          <w:sz w:val="20"/>
          <w:highlight w:val="none"/>
        </w:rPr>
      </w:pPr>
      <w:r>
        <w:rPr>
          <w:rFonts w:ascii="Times New Roman" w:hAnsi="Times New Roman" w:eastAsia="黑体"/>
          <w:highlight w:val="none"/>
        </w:rPr>
        <mc:AlternateContent>
          <mc:Choice Requires="wps">
            <w:drawing>
              <wp:anchor distT="0" distB="0" distL="114300" distR="114300" simplePos="0" relativeHeight="251661312" behindDoc="0" locked="0" layoutInCell="1" allowOverlap="1">
                <wp:simplePos x="0" y="0"/>
                <wp:positionH relativeFrom="column">
                  <wp:posOffset>3545840</wp:posOffset>
                </wp:positionH>
                <wp:positionV relativeFrom="paragraph">
                  <wp:posOffset>35560</wp:posOffset>
                </wp:positionV>
                <wp:extent cx="2026920" cy="346710"/>
                <wp:effectExtent l="0" t="0" r="0" b="0"/>
                <wp:wrapNone/>
                <wp:docPr id="4" name="矩形 4"/>
                <wp:cNvGraphicFramePr/>
                <a:graphic xmlns:a="http://schemas.openxmlformats.org/drawingml/2006/main">
                  <a:graphicData uri="http://schemas.microsoft.com/office/word/2010/wordprocessingShape">
                    <wps:wsp>
                      <wps:cNvSpPr/>
                      <wps:spPr>
                        <a:xfrm>
                          <a:off x="0" y="0"/>
                          <a:ext cx="2026920" cy="346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202</w:t>
                            </w:r>
                            <w:r>
                              <w:rPr>
                                <w:rFonts w:hint="default" w:ascii="楷体" w:hAnsi="楷体" w:eastAsia="楷体"/>
                                <w:b/>
                                <w:color w:val="000000" w:themeColor="text1"/>
                                <w:sz w:val="24"/>
                                <w:lang w:val="en-US"/>
                                <w14:textFill>
                                  <w14:solidFill>
                                    <w14:schemeClr w14:val="tx1"/>
                                  </w14:solidFill>
                                </w14:textFill>
                              </w:rPr>
                              <w:t>4</w:t>
                            </w:r>
                            <w:r>
                              <w:rPr>
                                <w:rFonts w:hint="eastAsia" w:ascii="楷体" w:hAnsi="楷体" w:eastAsia="楷体"/>
                                <w:b/>
                                <w:color w:val="000000" w:themeColor="text1"/>
                                <w:sz w:val="24"/>
                                <w14:textFill>
                                  <w14:solidFill>
                                    <w14:schemeClr w14:val="tx1"/>
                                  </w14:solidFill>
                                </w14:textFill>
                              </w:rPr>
                              <w:t>年第</w:t>
                            </w:r>
                            <w:r>
                              <w:rPr>
                                <w:rFonts w:hint="default" w:ascii="楷体" w:hAnsi="楷体" w:eastAsia="楷体"/>
                                <w:b/>
                                <w:color w:val="000000" w:themeColor="text1"/>
                                <w:sz w:val="24"/>
                                <w:lang w:val="en-US" w:eastAsia="zh-CN"/>
                                <w14:textFill>
                                  <w14:solidFill>
                                    <w14:schemeClr w14:val="tx1"/>
                                  </w14:solidFill>
                                </w14:textFill>
                              </w:rPr>
                              <w:t>2</w:t>
                            </w:r>
                            <w:r>
                              <w:rPr>
                                <w:rFonts w:hint="eastAsia" w:ascii="楷体" w:hAnsi="楷体" w:eastAsia="楷体"/>
                                <w:b/>
                                <w:color w:val="000000" w:themeColor="text1"/>
                                <w:sz w:val="24"/>
                                <w14:textFill>
                                  <w14:solidFill>
                                    <w14:schemeClr w14:val="tx1"/>
                                  </w14:solidFill>
                                </w14:textFill>
                              </w:rPr>
                              <w:t>期（总第</w:t>
                            </w:r>
                            <w:r>
                              <w:rPr>
                                <w:rFonts w:hint="default" w:ascii="楷体" w:hAnsi="楷体" w:eastAsia="楷体"/>
                                <w:b/>
                                <w:color w:val="000000" w:themeColor="text1"/>
                                <w:sz w:val="24"/>
                                <w:lang w:val="en-US" w:eastAsia="zh-CN"/>
                                <w14:textFill>
                                  <w14:solidFill>
                                    <w14:schemeClr w14:val="tx1"/>
                                  </w14:solidFill>
                                </w14:textFill>
                              </w:rPr>
                              <w:t>8</w:t>
                            </w:r>
                            <w:r>
                              <w:rPr>
                                <w:rFonts w:hint="eastAsia" w:ascii="楷体" w:hAnsi="楷体" w:eastAsia="楷体"/>
                                <w:b/>
                                <w:color w:val="000000" w:themeColor="text1"/>
                                <w:sz w:val="24"/>
                                <w14:textFill>
                                  <w14:solidFill>
                                    <w14:schemeClr w14:val="tx1"/>
                                  </w14:solidFill>
                                </w14:textFill>
                              </w:rPr>
                              <w:t>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2pt;margin-top:2.8pt;height:27.3pt;width:159.6pt;z-index:251661312;v-text-anchor:middle;mso-width-relative:page;mso-height-relative:page;" filled="f" stroked="f" coordsize="21600,21600" o:gfxdata="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3&#10;4kpH1gAAAAgBAAAPAAAAAAAAAAEAIAAAACIAAABkcnMvZG93bnJldi54bWxQSwECFAAUAAAACACH&#10;TuJA845NrF8CAACtBAAADgAAAAAAAAABACAAAAAlAQAAZHJzL2Uyb0RvYy54bWxQSwUGAAAAAAYA&#10;BgBZAQAA9gUAAAAA&#10;">
                <v:fill on="f" focussize="0,0"/>
                <v:stroke on="f" weight="1pt" miterlimit="8" joinstyle="miter"/>
                <v:imagedata o:title=""/>
                <o:lock v:ext="edit" aspectratio="f"/>
                <v:textbox>
                  <w:txbxContent>
                    <w:p>
                      <w:pPr>
                        <w:jc w:val="cente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202</w:t>
                      </w:r>
                      <w:r>
                        <w:rPr>
                          <w:rFonts w:hint="default" w:ascii="楷体" w:hAnsi="楷体" w:eastAsia="楷体"/>
                          <w:b/>
                          <w:color w:val="000000" w:themeColor="text1"/>
                          <w:sz w:val="24"/>
                          <w:lang w:val="en-US"/>
                          <w14:textFill>
                            <w14:solidFill>
                              <w14:schemeClr w14:val="tx1"/>
                            </w14:solidFill>
                          </w14:textFill>
                        </w:rPr>
                        <w:t>4</w:t>
                      </w:r>
                      <w:r>
                        <w:rPr>
                          <w:rFonts w:hint="eastAsia" w:ascii="楷体" w:hAnsi="楷体" w:eastAsia="楷体"/>
                          <w:b/>
                          <w:color w:val="000000" w:themeColor="text1"/>
                          <w:sz w:val="24"/>
                          <w14:textFill>
                            <w14:solidFill>
                              <w14:schemeClr w14:val="tx1"/>
                            </w14:solidFill>
                          </w14:textFill>
                        </w:rPr>
                        <w:t>年第</w:t>
                      </w:r>
                      <w:r>
                        <w:rPr>
                          <w:rFonts w:hint="default" w:ascii="楷体" w:hAnsi="楷体" w:eastAsia="楷体"/>
                          <w:b/>
                          <w:color w:val="000000" w:themeColor="text1"/>
                          <w:sz w:val="24"/>
                          <w:lang w:val="en-US" w:eastAsia="zh-CN"/>
                          <w14:textFill>
                            <w14:solidFill>
                              <w14:schemeClr w14:val="tx1"/>
                            </w14:solidFill>
                          </w14:textFill>
                        </w:rPr>
                        <w:t>2</w:t>
                      </w:r>
                      <w:r>
                        <w:rPr>
                          <w:rFonts w:hint="eastAsia" w:ascii="楷体" w:hAnsi="楷体" w:eastAsia="楷体"/>
                          <w:b/>
                          <w:color w:val="000000" w:themeColor="text1"/>
                          <w:sz w:val="24"/>
                          <w14:textFill>
                            <w14:solidFill>
                              <w14:schemeClr w14:val="tx1"/>
                            </w14:solidFill>
                          </w14:textFill>
                        </w:rPr>
                        <w:t>期（总第</w:t>
                      </w:r>
                      <w:r>
                        <w:rPr>
                          <w:rFonts w:hint="default" w:ascii="楷体" w:hAnsi="楷体" w:eastAsia="楷体"/>
                          <w:b/>
                          <w:color w:val="000000" w:themeColor="text1"/>
                          <w:sz w:val="24"/>
                          <w:lang w:val="en-US" w:eastAsia="zh-CN"/>
                          <w14:textFill>
                            <w14:solidFill>
                              <w14:schemeClr w14:val="tx1"/>
                            </w14:solidFill>
                          </w14:textFill>
                        </w:rPr>
                        <w:t>8</w:t>
                      </w:r>
                      <w:r>
                        <w:rPr>
                          <w:rFonts w:hint="eastAsia" w:ascii="楷体" w:hAnsi="楷体" w:eastAsia="楷体"/>
                          <w:b/>
                          <w:color w:val="000000" w:themeColor="text1"/>
                          <w:sz w:val="24"/>
                          <w14:textFill>
                            <w14:solidFill>
                              <w14:schemeClr w14:val="tx1"/>
                            </w14:solidFill>
                          </w14:textFill>
                        </w:rPr>
                        <w:t>期）</w:t>
                      </w:r>
                    </w:p>
                  </w:txbxContent>
                </v:textbox>
              </v:rect>
            </w:pict>
          </mc:Fallback>
        </mc:AlternateContent>
      </w:r>
    </w:p>
    <w:p>
      <w:pPr>
        <w:tabs>
          <w:tab w:val="left" w:pos="1200"/>
        </w:tabs>
        <w:spacing w:line="560" w:lineRule="exact"/>
        <w:ind w:right="1050"/>
        <w:textAlignment w:val="center"/>
        <w:rPr>
          <w:rFonts w:ascii="Times New Roman" w:hAnsi="Times New Roman" w:eastAsia="黑体"/>
          <w:sz w:val="30"/>
          <w:szCs w:val="30"/>
          <w:highlight w:val="none"/>
        </w:rPr>
      </w:pPr>
    </w:p>
    <w:p>
      <w:pPr>
        <w:spacing w:line="560" w:lineRule="exact"/>
        <w:ind w:right="1050"/>
        <w:textAlignment w:val="center"/>
        <w:rPr>
          <w:rFonts w:ascii="Times New Roman" w:hAnsi="Times New Roman" w:eastAsia="黑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r>
        <w:rPr>
          <w:rFonts w:hint="eastAsia" w:ascii="Times New Roman" w:hAnsi="Times New Roman" w:eastAsia="方正黑体简体"/>
          <w:sz w:val="30"/>
          <w:szCs w:val="30"/>
          <w:highlight w:val="none"/>
        </w:rPr>
        <w:t xml:space="preserve">一、深市会计审计监管通讯                       </w:t>
      </w:r>
      <w:r>
        <w:rPr>
          <w:rFonts w:ascii="Times New Roman" w:hAnsi="Times New Roman" w:eastAsia="方正黑体简体"/>
          <w:sz w:val="30"/>
          <w:szCs w:val="30"/>
          <w:highlight w:val="none"/>
        </w:rPr>
        <w:t>3</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hint="eastAsia" w:ascii="Times New Roman" w:hAnsi="Times New Roman" w:eastAsia="方正黑体简体"/>
          <w:sz w:val="30"/>
          <w:szCs w:val="30"/>
          <w:highlight w:val="none"/>
          <w:lang w:eastAsia="zh-CN"/>
        </w:rPr>
      </w:pPr>
      <w:r>
        <w:rPr>
          <w:rFonts w:hint="eastAsia" w:ascii="Times New Roman" w:hAnsi="Times New Roman" w:eastAsia="方正黑体简体"/>
          <w:sz w:val="30"/>
          <w:szCs w:val="30"/>
          <w:highlight w:val="none"/>
        </w:rPr>
        <w:t xml:space="preserve">二、典型案例研究                               </w:t>
      </w:r>
      <w:r>
        <w:rPr>
          <w:rFonts w:hint="default" w:ascii="Times New Roman" w:hAnsi="Times New Roman" w:eastAsia="方正黑体简体"/>
          <w:sz w:val="30"/>
          <w:szCs w:val="30"/>
          <w:highlight w:val="none"/>
          <w:lang w:val="en-US" w:eastAsia="zh-CN"/>
        </w:rPr>
        <w:t>6</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p>
    <w:p>
      <w:pPr>
        <w:tabs>
          <w:tab w:val="left" w:pos="709"/>
        </w:tabs>
        <w:spacing w:line="560" w:lineRule="exact"/>
        <w:ind w:right="1050"/>
        <w:textAlignment w:val="center"/>
        <w:rPr>
          <w:rFonts w:hint="default" w:ascii="Times New Roman" w:hAnsi="Times New Roman" w:eastAsia="方正黑体简体"/>
          <w:sz w:val="30"/>
          <w:szCs w:val="30"/>
          <w:highlight w:val="none"/>
          <w:lang w:val="en-US" w:eastAsia="zh-CN"/>
        </w:rPr>
      </w:pPr>
      <w:r>
        <w:rPr>
          <w:rFonts w:hint="eastAsia" w:ascii="Times New Roman" w:hAnsi="Times New Roman" w:eastAsia="方正黑体简体"/>
          <w:sz w:val="30"/>
          <w:szCs w:val="30"/>
          <w:highlight w:val="none"/>
        </w:rPr>
        <w:t xml:space="preserve">三、会计审计政策资讯                           </w:t>
      </w:r>
      <w:r>
        <w:rPr>
          <w:rFonts w:hint="default" w:ascii="Times New Roman" w:hAnsi="Times New Roman" w:eastAsia="方正黑体简体"/>
          <w:sz w:val="30"/>
          <w:szCs w:val="30"/>
          <w:highlight w:val="none"/>
          <w:lang w:val="en-US"/>
        </w:rPr>
        <w:t>18</w:t>
      </w: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textAlignment w:val="center"/>
        <w:rPr>
          <w:rFonts w:ascii="Times New Roman" w:hAnsi="Times New Roman" w:eastAsia="方正黑体简体"/>
          <w:sz w:val="30"/>
          <w:szCs w:val="30"/>
          <w:highlight w:val="none"/>
        </w:rPr>
      </w:pPr>
    </w:p>
    <w:p>
      <w:pPr>
        <w:spacing w:line="560" w:lineRule="exact"/>
        <w:ind w:right="1050"/>
        <w:jc w:val="left"/>
        <w:textAlignment w:val="center"/>
        <w:rPr>
          <w:rFonts w:ascii="Times New Roman" w:hAnsi="Times New Roman" w:eastAsia="方正黑体简体"/>
          <w:sz w:val="30"/>
          <w:szCs w:val="30"/>
          <w:highlight w:val="none"/>
        </w:rPr>
      </w:pPr>
    </w:p>
    <w:p>
      <w:pPr>
        <w:widowControl/>
        <w:spacing w:line="560" w:lineRule="exact"/>
        <w:textAlignment w:val="center"/>
        <w:rPr>
          <w:rFonts w:ascii="Times New Roman" w:hAnsi="Times New Roman" w:eastAsia="方正小标宋简体" w:cs="Times New Roman"/>
          <w:b/>
          <w:bCs/>
          <w:sz w:val="48"/>
          <w:szCs w:val="48"/>
          <w:highlight w:val="none"/>
        </w:rPr>
        <w:sectPr>
          <w:headerReference r:id="rId5" w:type="first"/>
          <w:footerReference r:id="rId7" w:type="first"/>
          <w:footerReference r:id="rId6" w:type="default"/>
          <w:pgSz w:w="11906" w:h="16157"/>
          <w:pgMar w:top="1440" w:right="1800" w:bottom="1440" w:left="1800" w:header="964" w:footer="1077" w:gutter="0"/>
          <w:cols w:space="0" w:num="1"/>
          <w:titlePg/>
          <w:docGrid w:type="lines" w:linePitch="316" w:charSpace="0"/>
        </w:sectPr>
      </w:pPr>
      <w:r>
        <w:rPr>
          <w:rFonts w:ascii="Times New Roman" w:hAnsi="Times New Roman" w:eastAsia="方正黑体简体"/>
          <w:sz w:val="30"/>
          <w:szCs w:val="30"/>
          <w:highlight w:val="none"/>
        </w:rPr>
        <w:drawing>
          <wp:anchor distT="0" distB="0" distL="0" distR="0" simplePos="0" relativeHeight="251665408" behindDoc="0" locked="0" layoutInCell="1" allowOverlap="1">
            <wp:simplePos x="0" y="0"/>
            <wp:positionH relativeFrom="page">
              <wp:posOffset>5309870</wp:posOffset>
            </wp:positionH>
            <wp:positionV relativeFrom="paragraph">
              <wp:posOffset>3475355</wp:posOffset>
            </wp:positionV>
            <wp:extent cx="984885" cy="371475"/>
            <wp:effectExtent l="0" t="0" r="5715" b="9525"/>
            <wp:wrapNone/>
            <wp:docPr id="3"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54.png"/>
                    <pic:cNvPicPr>
                      <a:picLocks noChangeAspect="1"/>
                    </pic:cNvPicPr>
                  </pic:nvPicPr>
                  <pic:blipFill>
                    <a:blip r:embed="rId14" cstate="print"/>
                    <a:stretch>
                      <a:fillRect/>
                    </a:stretch>
                  </pic:blipFill>
                  <pic:spPr>
                    <a:xfrm>
                      <a:off x="0" y="0"/>
                      <a:ext cx="984885" cy="371475"/>
                    </a:xfrm>
                    <a:prstGeom prst="rect">
                      <a:avLst/>
                    </a:prstGeom>
                  </pic:spPr>
                </pic:pic>
              </a:graphicData>
            </a:graphic>
          </wp:anchor>
        </w:drawing>
      </w:r>
      <w:r>
        <w:rPr>
          <w:rFonts w:ascii="Times New Roman" w:hAnsi="Times New Roman" w:eastAsia="方正黑体简体"/>
          <w:sz w:val="30"/>
          <w:szCs w:val="30"/>
          <w:highlight w:val="none"/>
        </w:rPr>
        <w:drawing>
          <wp:anchor distT="0" distB="0" distL="0" distR="0" simplePos="0" relativeHeight="251666432" behindDoc="0" locked="0" layoutInCell="1" allowOverlap="1">
            <wp:simplePos x="0" y="0"/>
            <wp:positionH relativeFrom="page">
              <wp:posOffset>6376670</wp:posOffset>
            </wp:positionH>
            <wp:positionV relativeFrom="paragraph">
              <wp:posOffset>3256280</wp:posOffset>
            </wp:positionV>
            <wp:extent cx="363220" cy="485775"/>
            <wp:effectExtent l="0" t="0" r="0" b="9525"/>
            <wp:wrapNone/>
            <wp:docPr id="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55.png"/>
                    <pic:cNvPicPr>
                      <a:picLocks noChangeAspect="1"/>
                    </pic:cNvPicPr>
                  </pic:nvPicPr>
                  <pic:blipFill>
                    <a:blip r:embed="rId15" cstate="print"/>
                    <a:stretch>
                      <a:fillRect/>
                    </a:stretch>
                  </pic:blipFill>
                  <pic:spPr>
                    <a:xfrm>
                      <a:off x="0" y="0"/>
                      <a:ext cx="363220" cy="485775"/>
                    </a:xfrm>
                    <a:prstGeom prst="rect">
                      <a:avLst/>
                    </a:prstGeom>
                  </pic:spPr>
                </pic:pic>
              </a:graphicData>
            </a:graphic>
          </wp:anchor>
        </w:drawing>
      </w:r>
      <w:r>
        <w:rPr>
          <w:rFonts w:hint="eastAsia" w:ascii="Times New Roman" w:hAnsi="Times New Roman" w:eastAsia="方正小标宋简体" w:cs="Times New Roman"/>
          <w:b/>
          <w:bCs/>
          <w:sz w:val="48"/>
          <w:szCs w:val="48"/>
          <w:highlight w:val="none"/>
        </w:rPr>
        <w:drawing>
          <wp:anchor distT="0" distB="0" distL="114300" distR="114300" simplePos="0" relativeHeight="251664384" behindDoc="1" locked="0" layoutInCell="1" allowOverlap="1">
            <wp:simplePos x="0" y="0"/>
            <wp:positionH relativeFrom="column">
              <wp:posOffset>-2619375</wp:posOffset>
            </wp:positionH>
            <wp:positionV relativeFrom="page">
              <wp:posOffset>5835650</wp:posOffset>
            </wp:positionV>
            <wp:extent cx="4616450" cy="5760085"/>
            <wp:effectExtent l="0" t="0" r="0" b="0"/>
            <wp:wrapNone/>
            <wp:docPr id="13" name="图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ogo"/>
                    <pic:cNvPicPr>
                      <a:picLocks noChangeAspect="1"/>
                    </pic:cNvPicPr>
                  </pic:nvPicPr>
                  <pic:blipFill>
                    <a:blip r:embed="rId16"/>
                    <a:stretch>
                      <a:fillRect/>
                    </a:stretch>
                  </pic:blipFill>
                  <pic:spPr>
                    <a:xfrm>
                      <a:off x="0" y="0"/>
                      <a:ext cx="4616450" cy="5760085"/>
                    </a:xfrm>
                    <a:prstGeom prst="rect">
                      <a:avLst/>
                    </a:prstGeom>
                  </pic:spPr>
                </pic:pic>
              </a:graphicData>
            </a:graphic>
          </wp:anchor>
        </w:drawing>
      </w:r>
    </w:p>
    <w:p>
      <w:pPr>
        <w:widowControl/>
        <w:spacing w:line="560" w:lineRule="exact"/>
        <w:textAlignment w:val="center"/>
        <w:rPr>
          <w:rFonts w:ascii="Times New Roman" w:hAnsi="Times New Roman" w:eastAsia="方正小标宋简体" w:cs="Times New Roman"/>
          <w:b/>
          <w:bCs/>
          <w:sz w:val="48"/>
          <w:szCs w:val="48"/>
          <w:highlight w:val="none"/>
        </w:rPr>
      </w:pPr>
      <w:bookmarkStart w:id="0" w:name="_Toc1574714070"/>
      <w:bookmarkStart w:id="1" w:name="_Toc740857988"/>
      <w:bookmarkStart w:id="2" w:name="_Toc1952384747"/>
      <w:bookmarkStart w:id="3" w:name="_Toc1985683688"/>
      <w:bookmarkStart w:id="4" w:name="_Toc487457050"/>
      <w:bookmarkStart w:id="5" w:name="_Toc1367951469"/>
    </w:p>
    <w:p>
      <w:pPr>
        <w:spacing w:line="560" w:lineRule="exact"/>
        <w:jc w:val="center"/>
        <w:textAlignment w:val="center"/>
        <w:rPr>
          <w:rFonts w:ascii="Times New Roman" w:hAnsi="Times New Roman" w:eastAsia="方正小标宋简体"/>
          <w:b/>
          <w:bCs/>
          <w:sz w:val="48"/>
          <w:szCs w:val="48"/>
          <w:highlight w:val="none"/>
        </w:rPr>
      </w:pPr>
      <w:r>
        <w:rPr>
          <w:rFonts w:hint="eastAsia" w:ascii="Times New Roman" w:hAnsi="Times New Roman" w:eastAsia="方正小标宋简体"/>
          <w:b/>
          <w:bCs/>
          <w:sz w:val="48"/>
          <w:szCs w:val="48"/>
          <w:highlight w:val="none"/>
        </w:rPr>
        <w:t>深圳证券交易所会计监管动态</w:t>
      </w:r>
    </w:p>
    <w:p>
      <w:pPr>
        <w:spacing w:line="560" w:lineRule="exact"/>
        <w:ind w:right="-147" w:rightChars="-70"/>
        <w:jc w:val="center"/>
        <w:textAlignment w:val="center"/>
        <w:rPr>
          <w:rFonts w:ascii="Times New Roman" w:hAnsi="Times New Roman" w:eastAsia="方正仿宋简体"/>
          <w:sz w:val="30"/>
          <w:szCs w:val="30"/>
          <w:highlight w:val="none"/>
        </w:rPr>
      </w:pPr>
    </w:p>
    <w:p>
      <w:pPr>
        <w:spacing w:line="560" w:lineRule="exact"/>
        <w:jc w:val="center"/>
        <w:textAlignment w:val="center"/>
        <w:rPr>
          <w:rFonts w:ascii="Times New Roman" w:hAnsi="Times New Roman" w:eastAsia="楷体_GB2312"/>
          <w:sz w:val="32"/>
          <w:highlight w:val="none"/>
        </w:rPr>
      </w:pPr>
      <w:r>
        <w:rPr>
          <w:rFonts w:ascii="Times New Roman" w:hAnsi="Times New Roman" w:eastAsia="楷体_GB2312"/>
          <w:sz w:val="32"/>
          <w:highlight w:val="none"/>
        </w:rPr>
        <w:t>20</w:t>
      </w:r>
      <w:r>
        <w:rPr>
          <w:rFonts w:hint="eastAsia" w:ascii="Times New Roman" w:hAnsi="Times New Roman" w:eastAsia="楷体_GB2312"/>
          <w:sz w:val="32"/>
          <w:highlight w:val="none"/>
        </w:rPr>
        <w:t>2</w:t>
      </w:r>
      <w:r>
        <w:rPr>
          <w:rFonts w:hint="default" w:ascii="Times New Roman" w:hAnsi="Times New Roman" w:eastAsia="楷体_GB2312"/>
          <w:sz w:val="32"/>
          <w:highlight w:val="none"/>
          <w:lang w:val="en-US"/>
        </w:rPr>
        <w:t>4</w:t>
      </w:r>
      <w:r>
        <w:rPr>
          <w:rFonts w:ascii="Times New Roman" w:hAnsi="Times New Roman" w:eastAsia="楷体_GB2312"/>
          <w:sz w:val="32"/>
          <w:highlight w:val="none"/>
        </w:rPr>
        <w:t>年第</w:t>
      </w:r>
      <w:r>
        <w:rPr>
          <w:rFonts w:hint="default" w:ascii="Times New Roman" w:hAnsi="Times New Roman" w:eastAsia="楷体_GB2312"/>
          <w:sz w:val="32"/>
          <w:highlight w:val="none"/>
          <w:lang w:val="en-US" w:eastAsia="zh-CN"/>
        </w:rPr>
        <w:t>2</w:t>
      </w:r>
      <w:r>
        <w:rPr>
          <w:rFonts w:ascii="Times New Roman" w:hAnsi="Times New Roman" w:eastAsia="楷体_GB2312"/>
          <w:sz w:val="32"/>
          <w:highlight w:val="none"/>
        </w:rPr>
        <w:t>期（总第</w:t>
      </w:r>
      <w:r>
        <w:rPr>
          <w:rFonts w:hint="default" w:ascii="Times New Roman" w:hAnsi="Times New Roman" w:eastAsia="楷体_GB2312"/>
          <w:sz w:val="32"/>
          <w:highlight w:val="none"/>
          <w:lang w:val="en-US" w:eastAsia="zh-CN"/>
        </w:rPr>
        <w:t>8</w:t>
      </w:r>
      <w:r>
        <w:rPr>
          <w:rFonts w:ascii="Times New Roman" w:hAnsi="Times New Roman" w:eastAsia="楷体_GB2312"/>
          <w:sz w:val="32"/>
          <w:highlight w:val="none"/>
        </w:rPr>
        <w:t>期）</w:t>
      </w:r>
    </w:p>
    <w:p>
      <w:pPr>
        <w:spacing w:line="560" w:lineRule="exact"/>
        <w:ind w:right="-147" w:rightChars="-70"/>
        <w:textAlignment w:val="center"/>
        <w:rPr>
          <w:rFonts w:ascii="Times New Roman" w:hAnsi="Times New Roman" w:eastAsia="方正仿宋简体"/>
          <w:sz w:val="30"/>
          <w:szCs w:val="30"/>
          <w:highlight w:val="none"/>
        </w:rPr>
      </w:pPr>
    </w:p>
    <w:p>
      <w:pPr>
        <w:spacing w:line="560" w:lineRule="exact"/>
        <w:textAlignment w:val="center"/>
        <w:rPr>
          <w:rFonts w:ascii="Times New Roman" w:hAnsi="Times New Roman" w:eastAsia="楷体_GB2312"/>
          <w:sz w:val="32"/>
          <w:highlight w:val="none"/>
        </w:rPr>
      </w:pPr>
      <w:r>
        <w:rPr>
          <w:rFonts w:ascii="Times New Roman" w:hAnsi="Times New Roman" w:eastAsia="楷体_GB2312"/>
          <w:sz w:val="32"/>
          <w:highlight w:val="none"/>
        </w:rPr>
        <w:t>深圳证券交易所</w:t>
      </w:r>
      <w:r>
        <w:rPr>
          <w:rFonts w:hint="eastAsia" w:ascii="Times New Roman" w:hAnsi="Times New Roman" w:eastAsia="楷体_GB2312"/>
          <w:sz w:val="32"/>
          <w:highlight w:val="none"/>
        </w:rPr>
        <w:t>会计监管部</w:t>
      </w:r>
      <w:r>
        <w:rPr>
          <w:rFonts w:ascii="Times New Roman" w:hAnsi="Times New Roman" w:eastAsia="楷体_GB2312"/>
          <w:sz w:val="32"/>
          <w:highlight w:val="none"/>
        </w:rPr>
        <w:t xml:space="preserve">            20</w:t>
      </w:r>
      <w:r>
        <w:rPr>
          <w:rFonts w:hint="eastAsia" w:ascii="Times New Roman" w:hAnsi="Times New Roman" w:eastAsia="楷体_GB2312"/>
          <w:sz w:val="32"/>
          <w:highlight w:val="none"/>
        </w:rPr>
        <w:t>2</w:t>
      </w:r>
      <w:r>
        <w:rPr>
          <w:rFonts w:hint="default" w:ascii="Times New Roman" w:hAnsi="Times New Roman" w:eastAsia="楷体_GB2312"/>
          <w:sz w:val="32"/>
          <w:highlight w:val="none"/>
          <w:lang w:val="en-US"/>
        </w:rPr>
        <w:t>4</w:t>
      </w:r>
      <w:r>
        <w:rPr>
          <w:rFonts w:ascii="Times New Roman" w:hAnsi="Times New Roman" w:eastAsia="楷体_GB2312"/>
          <w:sz w:val="32"/>
          <w:highlight w:val="none"/>
        </w:rPr>
        <w:t>年</w:t>
      </w:r>
      <w:r>
        <w:rPr>
          <w:rFonts w:hint="default" w:ascii="Times New Roman" w:hAnsi="Times New Roman" w:eastAsia="楷体_GB2312"/>
          <w:sz w:val="32"/>
          <w:highlight w:val="none"/>
          <w:lang w:val="en-US"/>
        </w:rPr>
        <w:t>7</w:t>
      </w:r>
      <w:r>
        <w:rPr>
          <w:rFonts w:ascii="Times New Roman" w:hAnsi="Times New Roman" w:eastAsia="楷体_GB2312"/>
          <w:sz w:val="32"/>
          <w:highlight w:val="none"/>
        </w:rPr>
        <w:t>月</w:t>
      </w:r>
      <w:r>
        <w:rPr>
          <w:rFonts w:hint="default" w:ascii="Times New Roman" w:hAnsi="Times New Roman" w:eastAsia="楷体_GB2312"/>
          <w:sz w:val="32"/>
          <w:highlight w:val="none"/>
          <w:lang w:val="en-US"/>
        </w:rPr>
        <w:t>2</w:t>
      </w:r>
      <w:r>
        <w:rPr>
          <w:rFonts w:ascii="Times New Roman" w:hAnsi="Times New Roman" w:eastAsia="楷体_GB2312"/>
          <w:sz w:val="32"/>
          <w:highlight w:val="none"/>
        </w:rPr>
        <w:t>日</w:t>
      </w:r>
    </w:p>
    <w:p>
      <w:pPr>
        <w:spacing w:line="560" w:lineRule="exact"/>
        <w:textAlignment w:val="center"/>
        <w:rPr>
          <w:rFonts w:ascii="Times New Roman" w:hAnsi="Times New Roman" w:eastAsia="黑体"/>
          <w:b/>
          <w:sz w:val="30"/>
          <w:szCs w:val="22"/>
          <w:highlight w:val="none"/>
        </w:rPr>
      </w:pPr>
      <w:r>
        <w:rPr>
          <w:rFonts w:ascii="Times New Roman" w:hAnsi="Times New Roman"/>
          <w:sz w:val="20"/>
          <w:highlight w:val="none"/>
        </w:rPr>
        <mc:AlternateContent>
          <mc:Choice Requires="wps">
            <w:drawing>
              <wp:anchor distT="0" distB="0" distL="114300" distR="114300" simplePos="0" relativeHeight="251671552" behindDoc="0" locked="0" layoutInCell="1" allowOverlap="1">
                <wp:simplePos x="0" y="0"/>
                <wp:positionH relativeFrom="column">
                  <wp:posOffset>1905</wp:posOffset>
                </wp:positionH>
                <wp:positionV relativeFrom="paragraph">
                  <wp:posOffset>33020</wp:posOffset>
                </wp:positionV>
                <wp:extent cx="5463540" cy="0"/>
                <wp:effectExtent l="42545" t="13970" r="56515" b="9271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463540" cy="0"/>
                        </a:xfrm>
                        <a:prstGeom prst="line">
                          <a:avLst/>
                        </a:prstGeom>
                        <a:noFill/>
                        <a:ln w="19050" cmpd="sng">
                          <a:solidFill>
                            <a:schemeClr val="accent1"/>
                          </a:solidFill>
                          <a:round/>
                        </a:ln>
                        <a:effectLst>
                          <a:outerShdw blurRad="50800" dist="38100" dir="5400000" algn="t" rotWithShape="0">
                            <a:prstClr val="black">
                              <a:alpha val="40000"/>
                            </a:prstClr>
                          </a:outerShdw>
                        </a:effectLst>
                      </wps:spPr>
                      <wps:bodyPr/>
                    </wps:wsp>
                  </a:graphicData>
                </a:graphic>
              </wp:anchor>
            </w:drawing>
          </mc:Choice>
          <mc:Fallback>
            <w:pict>
              <v:line id="_x0000_s1026" o:spid="_x0000_s1026" o:spt="20" style="position:absolute;left:0pt;margin-left:0.15pt;margin-top:2.6pt;height:0pt;width:430.2pt;z-index:251671552;mso-width-relative:page;mso-height-relative:page;" filled="f" stroked="t" coordsize="21600,21600" o:gfxdata="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n0+L0wAAAAQBAAAPAAAAAAAAAAEAIAAAACIAAABk&#10;cnMvZG93bnJldi54bWxQSwECFAAUAAAACACHTuJAIvTL6EQCAABqBAAADgAAAAAAAAABACAAAAAi&#10;AQAAZHJzL2Uyb0RvYy54bWxQSwUGAAAAAAYABgBZAQAA2AUAAAAA&#10;">
                <v:fill on="f" focussize="0,0"/>
                <v:stroke weight="1.5pt" color="#5B9BD5 [3204]" joinstyle="round"/>
                <v:imagedata o:title=""/>
                <o:lock v:ext="edit" aspectratio="f"/>
                <v:shadow on="t" color="#000000" opacity="26214f" offset="0pt,3pt" origin="0f,-32768f" matrix="65536f,0f,0f,65536f"/>
              </v:line>
            </w:pict>
          </mc:Fallback>
        </mc:AlternateConten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lang w:eastAsia="zh-CN"/>
        </w:rPr>
      </w:pPr>
      <w:r>
        <w:rPr>
          <w:rFonts w:hint="eastAsia" w:ascii="黑体" w:hAnsi="黑体" w:eastAsia="黑体" w:cs="Times New Roman"/>
          <w:color w:val="000000"/>
          <w:sz w:val="32"/>
          <w:szCs w:val="32"/>
          <w:highlight w:val="none"/>
        </w:rPr>
        <w:t>编者按：</w:t>
      </w:r>
      <w:r>
        <w:rPr>
          <w:rFonts w:hint="eastAsia" w:ascii="仿宋" w:hAnsi="仿宋" w:eastAsia="仿宋" w:cs="仿宋"/>
          <w:color w:val="000000"/>
          <w:sz w:val="32"/>
          <w:szCs w:val="32"/>
          <w:highlight w:val="none"/>
          <w:lang w:eastAsia="zh-CN"/>
        </w:rPr>
        <w:t>今年年初，习近平总书记在省部级主要领导推动金融高质量发展专题研讨班开班式上指出，推动金融高质量发展，要坚持法治和德治相结合，积极培育中国特色金融文化，做到诚实守信，不逾越底线；以义取利，不唯利是图；稳健审慎，不急功近利；守正创新，不脱实向虚；依法合规，不胡作非为。</w:t>
      </w:r>
    </w:p>
    <w:p>
      <w:pPr>
        <w:topLinePunct/>
        <w:adjustRightInd w:val="0"/>
        <w:snapToGrid w:val="0"/>
        <w:spacing w:line="560" w:lineRule="exact"/>
        <w:ind w:firstLine="640" w:firstLineChars="200"/>
        <w:rPr>
          <w:rFonts w:hint="eastAsia" w:ascii="仿宋" w:hAnsi="仿宋" w:eastAsia="仿宋" w:cs="仿宋"/>
          <w:i w:val="0"/>
          <w:iCs w:val="0"/>
          <w:caps w:val="0"/>
          <w:color w:val="191919"/>
          <w:spacing w:val="0"/>
          <w:sz w:val="32"/>
          <w:szCs w:val="32"/>
          <w:highlight w:val="none"/>
          <w:shd w:val="clear" w:fill="FFFFFF"/>
          <w:lang w:eastAsia="zh-CN"/>
        </w:rPr>
      </w:pPr>
      <w:r>
        <w:rPr>
          <w:rFonts w:hint="eastAsia" w:ascii="仿宋" w:hAnsi="仿宋" w:eastAsia="仿宋" w:cs="仿宋"/>
          <w:color w:val="000000"/>
          <w:sz w:val="32"/>
          <w:szCs w:val="32"/>
          <w:highlight w:val="none"/>
          <w:lang w:eastAsia="zh-CN"/>
        </w:rPr>
        <w:t>今年</w:t>
      </w:r>
      <w:r>
        <w:rPr>
          <w:rFonts w:hint="default" w:ascii="仿宋" w:hAnsi="仿宋" w:eastAsia="仿宋" w:cs="仿宋"/>
          <w:color w:val="000000"/>
          <w:sz w:val="32"/>
          <w:szCs w:val="32"/>
          <w:highlight w:val="none"/>
          <w:lang w:val="en-US" w:eastAsia="zh-CN"/>
        </w:rPr>
        <w:t>4</w:t>
      </w:r>
      <w:r>
        <w:rPr>
          <w:rFonts w:hint="eastAsia" w:ascii="仿宋" w:hAnsi="仿宋" w:eastAsia="仿宋" w:cs="仿宋"/>
          <w:color w:val="000000"/>
          <w:sz w:val="32"/>
          <w:szCs w:val="32"/>
          <w:highlight w:val="none"/>
          <w:lang w:val="en-US" w:eastAsia="zh-CN"/>
        </w:rPr>
        <w:t>月，国务院印发《关于加强监管防范风险推动资本市场高质量发展的若干意见》，是资本市场第三个“国九条”，为推动资本市场高质量发展指明了方向</w:t>
      </w:r>
      <w:r>
        <w:rPr>
          <w:rFonts w:hint="eastAsia" w:ascii="仿宋" w:hAnsi="仿宋" w:eastAsia="仿宋" w:cs="仿宋"/>
          <w:i w:val="0"/>
          <w:iCs w:val="0"/>
          <w:caps w:val="0"/>
          <w:color w:val="191919"/>
          <w:spacing w:val="0"/>
          <w:sz w:val="32"/>
          <w:szCs w:val="32"/>
          <w:highlight w:val="none"/>
          <w:shd w:val="clear" w:fill="FFFFFF"/>
          <w:lang w:eastAsia="zh-CN"/>
        </w:rPr>
        <w:t>。其中强调要稳为基调、严字当头，</w:t>
      </w:r>
      <w:r>
        <w:rPr>
          <w:rFonts w:hint="eastAsia" w:ascii="仿宋" w:hAnsi="仿宋" w:eastAsia="仿宋" w:cs="仿宋"/>
          <w:color w:val="191919"/>
          <w:sz w:val="32"/>
          <w:szCs w:val="32"/>
          <w:highlight w:val="none"/>
          <w:shd w:val="clear" w:fill="FFFFFF"/>
        </w:rPr>
        <w:t>确保监管“长牙带刺”、有棱有角</w:t>
      </w:r>
      <w:r>
        <w:rPr>
          <w:rFonts w:hint="eastAsia" w:ascii="仿宋" w:hAnsi="仿宋" w:eastAsia="仿宋" w:cs="仿宋"/>
          <w:i w:val="0"/>
          <w:iCs w:val="0"/>
          <w:caps w:val="0"/>
          <w:color w:val="191919"/>
          <w:spacing w:val="0"/>
          <w:sz w:val="32"/>
          <w:szCs w:val="32"/>
          <w:highlight w:val="none"/>
          <w:shd w:val="clear" w:fill="FFFFFF"/>
          <w:lang w:eastAsia="zh-CN"/>
        </w:rPr>
        <w:t>；进一步压实中介机构“看门人”责任，推动加强资本市场法治建设，大幅提升违法违规成本。</w: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lang w:eastAsia="zh-CN"/>
        </w:rPr>
      </w:pPr>
      <w:r>
        <w:rPr>
          <w:rFonts w:hint="eastAsia" w:ascii="仿宋" w:hAnsi="仿宋" w:eastAsia="仿宋" w:cs="仿宋"/>
          <w:color w:val="000000"/>
          <w:sz w:val="32"/>
          <w:szCs w:val="32"/>
          <w:highlight w:val="none"/>
          <w:lang w:eastAsia="zh-CN"/>
        </w:rPr>
        <w:t>会计师事务所作为专业服务机构，为上市公司等市场主体提供鉴证服务，是夯实资本市场法治和诚信基础的重要力量。会计师事务所在执业过程中，要增强风险意识和责任意识，自觉践行中国特色金融文化，勤勉尽责履行好资本市场“看门人”职责。</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为帮助</w:t>
      </w:r>
      <w:r>
        <w:rPr>
          <w:rFonts w:hint="eastAsia" w:ascii="仿宋" w:hAnsi="仿宋" w:eastAsia="仿宋" w:cs="仿宋"/>
          <w:color w:val="000000"/>
          <w:sz w:val="32"/>
          <w:szCs w:val="32"/>
          <w:highlight w:val="none"/>
          <w:lang w:eastAsia="zh-CN"/>
        </w:rPr>
        <w:t>会计师事务所</w:t>
      </w:r>
      <w:r>
        <w:rPr>
          <w:rFonts w:hint="eastAsia" w:ascii="仿宋" w:hAnsi="仿宋" w:eastAsia="仿宋" w:cs="仿宋"/>
          <w:color w:val="000000"/>
          <w:sz w:val="32"/>
          <w:szCs w:val="32"/>
          <w:highlight w:val="none"/>
        </w:rPr>
        <w:t>了解和把握新形势下的监管要求，本期《深圳证券交易所会计监管动态》</w:t>
      </w:r>
      <w:r>
        <w:rPr>
          <w:rFonts w:hint="eastAsia" w:ascii="仿宋" w:hAnsi="仿宋" w:eastAsia="仿宋" w:cs="仿宋"/>
          <w:color w:val="000000"/>
          <w:sz w:val="32"/>
          <w:szCs w:val="32"/>
          <w:highlight w:val="none"/>
          <w:lang w:val="en-US" w:eastAsia="zh-CN"/>
        </w:rPr>
        <w:t>聚焦年报监管事项，</w:t>
      </w:r>
      <w:r>
        <w:rPr>
          <w:rFonts w:hint="eastAsia" w:ascii="仿宋" w:hAnsi="仿宋" w:eastAsia="仿宋" w:cs="仿宋"/>
          <w:color w:val="000000"/>
          <w:sz w:val="32"/>
          <w:szCs w:val="32"/>
          <w:highlight w:val="none"/>
        </w:rPr>
        <w:t>介绍了</w:t>
      </w:r>
      <w:r>
        <w:rPr>
          <w:rFonts w:hint="eastAsia" w:ascii="仿宋" w:hAnsi="仿宋" w:eastAsia="仿宋" w:cs="仿宋"/>
          <w:color w:val="000000"/>
          <w:sz w:val="32"/>
          <w:szCs w:val="32"/>
          <w:highlight w:val="none"/>
          <w:lang w:val="en-US" w:eastAsia="zh-CN"/>
        </w:rPr>
        <w:t>会计师事务所典型执业质量问题、会计差错更正和会计政策变更的常见</w:t>
      </w:r>
      <w:r>
        <w:rPr>
          <w:rFonts w:hint="eastAsia" w:ascii="仿宋" w:hAnsi="仿宋" w:eastAsia="仿宋" w:cs="仿宋"/>
          <w:color w:val="000000"/>
          <w:sz w:val="32"/>
          <w:szCs w:val="32"/>
          <w:highlight w:val="none"/>
        </w:rPr>
        <w:t>会计问题</w:t>
      </w:r>
      <w:r>
        <w:rPr>
          <w:rFonts w:hint="eastAsia" w:ascii="仿宋" w:hAnsi="仿宋" w:eastAsia="仿宋" w:cs="仿宋"/>
          <w:color w:val="000000"/>
          <w:sz w:val="32"/>
          <w:szCs w:val="32"/>
          <w:highlight w:val="none"/>
          <w:lang w:eastAsia="zh-CN"/>
        </w:rPr>
        <w:t>，</w:t>
      </w:r>
      <w:r>
        <w:rPr>
          <w:rFonts w:hint="eastAsia" w:ascii="仿宋" w:hAnsi="仿宋" w:eastAsia="仿宋" w:cs="仿宋"/>
          <w:color w:val="000000"/>
          <w:sz w:val="32"/>
          <w:szCs w:val="32"/>
          <w:highlight w:val="none"/>
          <w:lang w:val="en-US" w:eastAsia="zh-CN"/>
        </w:rPr>
        <w:t>以及近期</w:t>
      </w:r>
      <w:r>
        <w:rPr>
          <w:rFonts w:hint="eastAsia" w:ascii="仿宋" w:hAnsi="仿宋" w:eastAsia="仿宋" w:cs="仿宋"/>
          <w:color w:val="000000"/>
          <w:sz w:val="32"/>
          <w:szCs w:val="32"/>
          <w:highlight w:val="none"/>
        </w:rPr>
        <w:t>政策资讯。</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监管通报方面，重点介绍了</w:t>
      </w:r>
      <w:r>
        <w:rPr>
          <w:rFonts w:hint="eastAsia" w:ascii="仿宋" w:hAnsi="仿宋" w:eastAsia="仿宋" w:cs="仿宋"/>
          <w:color w:val="000000"/>
          <w:sz w:val="32"/>
          <w:szCs w:val="32"/>
          <w:highlight w:val="none"/>
          <w:lang w:val="en-US" w:eastAsia="zh-CN"/>
        </w:rPr>
        <w:t>今年第二季度我所对会计师事务所和资产评估机构采取纪律处分的情况及相关执业质量问题</w:t>
      </w:r>
      <w:r>
        <w:rPr>
          <w:rFonts w:hint="eastAsia" w:ascii="仿宋" w:hAnsi="仿宋" w:eastAsia="仿宋" w:cs="仿宋"/>
          <w:color w:val="000000"/>
          <w:sz w:val="32"/>
          <w:szCs w:val="32"/>
          <w:highlight w:val="none"/>
        </w:rPr>
        <w:t>。</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会计案例方面，本期</w:t>
      </w:r>
      <w:r>
        <w:rPr>
          <w:rFonts w:hint="eastAsia" w:ascii="仿宋" w:hAnsi="仿宋" w:eastAsia="仿宋" w:cs="仿宋"/>
          <w:color w:val="000000"/>
          <w:sz w:val="32"/>
          <w:szCs w:val="32"/>
          <w:highlight w:val="none"/>
          <w:lang w:eastAsia="zh-CN"/>
        </w:rPr>
        <w:t>介绍了涉及会计差错更正、会计政策变更的相关案例，注册会计师在执业过程中要注意根据准则作出合理的职业判断。</w:t>
      </w:r>
    </w:p>
    <w:p>
      <w:pPr>
        <w:topLinePunct/>
        <w:adjustRightInd w:val="0"/>
        <w:snapToGrid w:val="0"/>
        <w:spacing w:line="560" w:lineRule="exact"/>
        <w:ind w:firstLine="640" w:firstLineChars="200"/>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会计资讯方面，本期收录了《关于加强监管防范风险推动资本市场高质量发展的若干意见》</w:t>
      </w:r>
      <w:r>
        <w:rPr>
          <w:rFonts w:hint="eastAsia" w:ascii="仿宋" w:hAnsi="仿宋" w:eastAsia="仿宋" w:cs="仿宋"/>
          <w:color w:val="000000"/>
          <w:sz w:val="32"/>
          <w:szCs w:val="32"/>
          <w:highlight w:val="none"/>
          <w:lang w:val="en-US" w:eastAsia="zh-CN"/>
        </w:rPr>
        <w:t>《关于严格执行退市制度的意见》</w:t>
      </w:r>
      <w:r>
        <w:rPr>
          <w:rFonts w:hint="eastAsia" w:ascii="仿宋" w:hAnsi="仿宋" w:eastAsia="仿宋" w:cs="仿宋"/>
          <w:color w:val="000000"/>
          <w:sz w:val="32"/>
          <w:szCs w:val="32"/>
          <w:highlight w:val="none"/>
        </w:rPr>
        <w:t>等通知简讯。</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《深圳证券交易所会计监管动态》不构成对现行《企业会计准则》的解释，仅供会计师事务所内部交流使用，请勿外传。如有任何意见或建议，欢迎扫描封底二维码反馈给我所会计监管部。</w:t>
      </w:r>
    </w:p>
    <w:p>
      <w:pPr>
        <w:topLinePunct/>
        <w:adjustRightInd w:val="0"/>
        <w:snapToGrid w:val="0"/>
        <w:spacing w:line="560" w:lineRule="exact"/>
        <w:ind w:firstLine="640" w:firstLineChars="200"/>
        <w:rPr>
          <w:rFonts w:ascii="仿宋" w:hAnsi="仿宋" w:eastAsia="仿宋" w:cs="仿宋"/>
          <w:color w:val="000000"/>
          <w:sz w:val="32"/>
          <w:szCs w:val="32"/>
          <w:highlight w:val="none"/>
        </w:rPr>
      </w:pPr>
    </w:p>
    <w:p>
      <w:pPr>
        <w:topLinePunct/>
        <w:adjustRightInd w:val="0"/>
        <w:snapToGrid w:val="0"/>
        <w:spacing w:line="560" w:lineRule="exact"/>
        <w:ind w:firstLine="640" w:firstLineChars="200"/>
        <w:rPr>
          <w:rFonts w:ascii="仿宋" w:hAnsi="仿宋" w:eastAsia="仿宋" w:cs="仿宋"/>
          <w:color w:val="000000"/>
          <w:sz w:val="32"/>
          <w:szCs w:val="32"/>
          <w:highlight w:val="none"/>
        </w:rPr>
      </w:pPr>
    </w:p>
    <w:p>
      <w:pPr>
        <w:widowControl/>
        <w:jc w:val="left"/>
        <w:rPr>
          <w:rFonts w:ascii="仿宋" w:hAnsi="仿宋" w:eastAsia="仿宋" w:cs="Times New Roman"/>
          <w:color w:val="000000"/>
          <w:sz w:val="32"/>
          <w:szCs w:val="32"/>
          <w:highlight w:val="none"/>
        </w:rPr>
      </w:pPr>
      <w:r>
        <w:rPr>
          <w:rFonts w:ascii="仿宋" w:hAnsi="仿宋" w:eastAsia="仿宋" w:cs="Times New Roman"/>
          <w:color w:val="000000"/>
          <w:sz w:val="32"/>
          <w:szCs w:val="32"/>
          <w:highlight w:val="none"/>
        </w:rPr>
        <w:br w:type="page"/>
      </w:r>
    </w:p>
    <w:p>
      <w:pPr>
        <w:topLinePunct/>
        <w:adjustRightInd w:val="0"/>
        <w:snapToGrid w:val="0"/>
        <w:spacing w:line="560" w:lineRule="exact"/>
        <w:ind w:firstLine="640" w:firstLineChars="200"/>
        <w:outlineLvl w:val="0"/>
        <w:rPr>
          <w:rFonts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t>一、深市会计审计监管通讯</w:t>
      </w:r>
    </w:p>
    <w:p>
      <w:pPr>
        <w:keepNext w:val="0"/>
        <w:keepLines w:val="0"/>
        <w:pageBreakBefore w:val="0"/>
        <w:kinsoku/>
        <w:wordWrap/>
        <w:overflowPunct/>
        <w:topLinePunct/>
        <w:bidi w:val="0"/>
        <w:adjustRightInd w:val="0"/>
        <w:snapToGrid w:val="0"/>
        <w:spacing w:line="560" w:lineRule="exact"/>
        <w:ind w:left="0" w:right="0" w:rightChars="0"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一</w:t>
      </w:r>
      <w:r>
        <w:rPr>
          <w:rFonts w:hint="eastAsia" w:ascii="楷体" w:hAnsi="楷体" w:eastAsia="楷体" w:cs="Times New Roman"/>
          <w:color w:val="000000"/>
          <w:sz w:val="32"/>
          <w:szCs w:val="32"/>
          <w:highlight w:val="none"/>
        </w:rPr>
        <w:t>）审计评估机构自律监管措施和纪律处分情况</w:t>
      </w:r>
    </w:p>
    <w:p>
      <w:pPr>
        <w:topLinePunct/>
        <w:adjustRightInd w:val="0"/>
        <w:snapToGrid w:val="0"/>
        <w:spacing w:line="560" w:lineRule="exact"/>
        <w:ind w:firstLine="640" w:firstLineChars="200"/>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我所</w:t>
      </w:r>
      <w:r>
        <w:rPr>
          <w:rFonts w:hint="eastAsia" w:ascii="仿宋" w:hAnsi="仿宋" w:eastAsia="仿宋" w:cs="Times New Roman"/>
          <w:color w:val="000000"/>
          <w:sz w:val="32"/>
          <w:szCs w:val="32"/>
          <w:highlight w:val="none"/>
          <w:lang w:eastAsia="zh-CN"/>
        </w:rPr>
        <w:t>坚守监管主责主业，</w:t>
      </w:r>
      <w:r>
        <w:rPr>
          <w:rFonts w:hint="eastAsia" w:ascii="仿宋" w:hAnsi="仿宋" w:eastAsia="仿宋" w:cs="Times New Roman"/>
          <w:color w:val="000000"/>
          <w:sz w:val="32"/>
          <w:szCs w:val="32"/>
          <w:highlight w:val="none"/>
        </w:rPr>
        <w:t>围绕推动提高上市公司质量、严把发行上市“入口关”</w:t>
      </w:r>
      <w:r>
        <w:rPr>
          <w:rFonts w:hint="eastAsia" w:ascii="仿宋" w:hAnsi="仿宋" w:eastAsia="仿宋" w:cs="Times New Roman"/>
          <w:color w:val="000000"/>
          <w:sz w:val="32"/>
          <w:szCs w:val="32"/>
          <w:highlight w:val="none"/>
          <w:lang w:eastAsia="zh-CN"/>
        </w:rPr>
        <w:t>目标</w:t>
      </w:r>
      <w:r>
        <w:rPr>
          <w:rFonts w:hint="eastAsia" w:ascii="仿宋" w:hAnsi="仿宋" w:eastAsia="仿宋" w:cs="Times New Roman"/>
          <w:color w:val="000000"/>
          <w:sz w:val="32"/>
          <w:szCs w:val="32"/>
          <w:highlight w:val="none"/>
        </w:rPr>
        <w:t>，按照“零容忍”的工作方针，依法依规查处审计评估机构各类违规行为。</w:t>
      </w:r>
    </w:p>
    <w:p>
      <w:pPr>
        <w:topLinePunct/>
        <w:adjustRightInd w:val="0"/>
        <w:snapToGrid w:val="0"/>
        <w:spacing w:line="560" w:lineRule="exact"/>
        <w:ind w:firstLine="640" w:firstLineChars="200"/>
        <w:rPr>
          <w:rFonts w:hint="eastAsia"/>
          <w:highlight w:val="none"/>
          <w:lang w:val="en-US" w:eastAsia="zh-CN"/>
        </w:rPr>
      </w:pPr>
      <w:r>
        <w:rPr>
          <w:rFonts w:hint="eastAsia" w:ascii="仿宋" w:hAnsi="仿宋" w:eastAsia="仿宋" w:cs="Times New Roman"/>
          <w:color w:val="000000"/>
          <w:sz w:val="32"/>
          <w:szCs w:val="32"/>
          <w:highlight w:val="none"/>
        </w:rPr>
        <w:t>202</w:t>
      </w: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6</w:t>
      </w:r>
      <w:r>
        <w:rPr>
          <w:rFonts w:hint="eastAsia" w:ascii="仿宋" w:hAnsi="仿宋" w:eastAsia="仿宋" w:cs="Times New Roman"/>
          <w:color w:val="000000"/>
          <w:sz w:val="32"/>
          <w:szCs w:val="32"/>
          <w:highlight w:val="none"/>
        </w:rPr>
        <w:t>月，我所共对审计机构及其从业人员作出</w:t>
      </w:r>
      <w:r>
        <w:rPr>
          <w:rFonts w:hint="eastAsia" w:ascii="仿宋" w:hAnsi="仿宋" w:eastAsia="仿宋" w:cs="Times New Roman"/>
          <w:color w:val="000000"/>
          <w:sz w:val="32"/>
          <w:szCs w:val="32"/>
          <w:highlight w:val="none"/>
          <w:lang w:val="en-US" w:eastAsia="zh-CN"/>
        </w:rPr>
        <w:t>暂不受理文件并处公开谴责1例、</w:t>
      </w:r>
      <w:r>
        <w:rPr>
          <w:rFonts w:hint="eastAsia" w:ascii="仿宋" w:hAnsi="仿宋" w:eastAsia="仿宋" w:cs="Times New Roman"/>
          <w:color w:val="000000"/>
          <w:sz w:val="32"/>
          <w:szCs w:val="32"/>
          <w:highlight w:val="none"/>
          <w:lang w:eastAsia="zh-CN"/>
        </w:rPr>
        <w:t>通报批评</w:t>
      </w:r>
      <w:r>
        <w:rPr>
          <w:rFonts w:hint="eastAsia" w:ascii="仿宋" w:hAnsi="仿宋" w:eastAsia="仿宋" w:cs="Times New Roman"/>
          <w:color w:val="000000"/>
          <w:sz w:val="32"/>
          <w:szCs w:val="32"/>
          <w:highlight w:val="none"/>
          <w:lang w:val="en-US" w:eastAsia="zh-CN"/>
        </w:rPr>
        <w:t>1例、</w:t>
      </w:r>
      <w:r>
        <w:rPr>
          <w:rFonts w:hint="eastAsia" w:ascii="仿宋" w:hAnsi="仿宋" w:eastAsia="仿宋" w:cs="Times New Roman"/>
          <w:color w:val="000000"/>
          <w:sz w:val="32"/>
          <w:szCs w:val="32"/>
          <w:highlight w:val="none"/>
        </w:rPr>
        <w:t>书面警示</w:t>
      </w: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例，涉及</w:t>
      </w:r>
      <w:r>
        <w:rPr>
          <w:rFonts w:hint="eastAsia" w:ascii="仿宋" w:hAnsi="仿宋" w:eastAsia="仿宋" w:cs="Times New Roman"/>
          <w:color w:val="000000"/>
          <w:sz w:val="32"/>
          <w:szCs w:val="32"/>
          <w:highlight w:val="none"/>
          <w:lang w:val="en-US" w:eastAsia="zh-CN"/>
        </w:rPr>
        <w:t>7</w:t>
      </w:r>
      <w:r>
        <w:rPr>
          <w:rFonts w:hint="eastAsia" w:ascii="仿宋" w:hAnsi="仿宋" w:eastAsia="仿宋" w:cs="Times New Roman"/>
          <w:color w:val="000000"/>
          <w:sz w:val="32"/>
          <w:szCs w:val="32"/>
          <w:highlight w:val="none"/>
        </w:rPr>
        <w:t>家次审计机构及</w:t>
      </w:r>
      <w:r>
        <w:rPr>
          <w:rFonts w:hint="eastAsia" w:ascii="仿宋" w:hAnsi="仿宋" w:eastAsia="仿宋" w:cs="Times New Roman"/>
          <w:color w:val="000000"/>
          <w:sz w:val="32"/>
          <w:szCs w:val="32"/>
          <w:highlight w:val="none"/>
          <w:lang w:val="en-US" w:eastAsia="zh-CN"/>
        </w:rPr>
        <w:t>28</w:t>
      </w:r>
      <w:r>
        <w:rPr>
          <w:rFonts w:hint="eastAsia" w:ascii="仿宋" w:hAnsi="仿宋" w:eastAsia="仿宋" w:cs="Times New Roman"/>
          <w:color w:val="000000"/>
          <w:sz w:val="32"/>
          <w:szCs w:val="32"/>
          <w:highlight w:val="none"/>
        </w:rPr>
        <w:t>人次从业人员</w:t>
      </w:r>
      <w:r>
        <w:rPr>
          <w:rFonts w:hint="eastAsia" w:ascii="仿宋" w:hAnsi="仿宋" w:eastAsia="仿宋" w:cs="Times New Roman"/>
          <w:color w:val="000000"/>
          <w:sz w:val="32"/>
          <w:szCs w:val="32"/>
          <w:highlight w:val="none"/>
          <w:lang w:val="en-US" w:eastAsia="zh-CN"/>
        </w:rPr>
        <w:t>。</w:t>
      </w:r>
      <w:r>
        <w:rPr>
          <w:rFonts w:hint="eastAsia" w:ascii="仿宋" w:hAnsi="仿宋" w:eastAsia="仿宋" w:cs="Times New Roman"/>
          <w:color w:val="000000"/>
          <w:sz w:val="32"/>
          <w:szCs w:val="32"/>
          <w:highlight w:val="none"/>
        </w:rPr>
        <w:t>相关审计机构执业质量问题主要表现为：</w:t>
      </w:r>
    </w:p>
    <w:p>
      <w:pPr>
        <w:keepNext w:val="0"/>
        <w:keepLines w:val="0"/>
        <w:pageBreakBefore w:val="0"/>
        <w:kinsoku/>
        <w:wordWrap/>
        <w:overflowPunct/>
        <w:topLinePunct/>
        <w:bidi w:val="0"/>
        <w:adjustRightInd w:val="0"/>
        <w:snapToGrid w:val="0"/>
        <w:spacing w:line="560" w:lineRule="exact"/>
        <w:ind w:left="0" w:right="0" w:rightChars="0" w:firstLine="643" w:firstLineChars="200"/>
        <w:rPr>
          <w:rFonts w:hint="default" w:ascii="仿宋" w:hAnsi="仿宋" w:eastAsia="仿宋" w:cs="Times New Roman"/>
          <w:b/>
          <w:bCs/>
          <w:color w:val="000000"/>
          <w:sz w:val="32"/>
          <w:szCs w:val="32"/>
          <w:highlight w:val="none"/>
          <w:lang w:val="en-US" w:eastAsia="zh-CN"/>
        </w:rPr>
      </w:pPr>
      <w:r>
        <w:rPr>
          <w:rFonts w:hint="eastAsia" w:ascii="仿宋" w:hAnsi="仿宋" w:eastAsia="仿宋" w:cs="Times New Roman"/>
          <w:b/>
          <w:bCs/>
          <w:color w:val="000000"/>
          <w:sz w:val="32"/>
          <w:szCs w:val="32"/>
          <w:highlight w:val="none"/>
          <w:lang w:val="en-US" w:eastAsia="zh-CN"/>
        </w:rPr>
        <w:t>1</w:t>
      </w:r>
      <w:r>
        <w:rPr>
          <w:rFonts w:hint="eastAsia" w:ascii="仿宋" w:hAnsi="仿宋" w:eastAsia="仿宋" w:cs="Times New Roman"/>
          <w:b/>
          <w:bCs/>
          <w:color w:val="000000"/>
          <w:sz w:val="32"/>
          <w:szCs w:val="32"/>
          <w:highlight w:val="none"/>
        </w:rPr>
        <w:t>．</w:t>
      </w:r>
      <w:r>
        <w:rPr>
          <w:rFonts w:hint="eastAsia" w:ascii="仿宋" w:hAnsi="仿宋" w:eastAsia="仿宋" w:cs="Times New Roman"/>
          <w:b/>
          <w:bCs/>
          <w:color w:val="000000"/>
          <w:sz w:val="32"/>
          <w:szCs w:val="32"/>
          <w:highlight w:val="none"/>
          <w:lang w:val="en-US" w:eastAsia="zh-CN"/>
        </w:rPr>
        <w:t>在IPO审计业务中核查把关不严</w:t>
      </w:r>
    </w:p>
    <w:p>
      <w:pPr>
        <w:keepNext w:val="0"/>
        <w:keepLines w:val="0"/>
        <w:pageBreakBefore w:val="0"/>
        <w:kinsoku/>
        <w:wordWrap/>
        <w:overflowPunct/>
        <w:topLinePunct/>
        <w:bidi w:val="0"/>
        <w:adjustRightInd w:val="0"/>
        <w:snapToGrid w:val="0"/>
        <w:spacing w:line="560" w:lineRule="exact"/>
        <w:ind w:left="0" w:right="0" w:rightChars="0" w:firstLine="640" w:firstLineChars="200"/>
        <w:rPr>
          <w:rFonts w:hint="eastAsia" w:ascii="仿宋" w:hAnsi="仿宋" w:eastAsia="仿宋" w:cs="Times New Roman"/>
          <w:b w:val="0"/>
          <w:bCs w:val="0"/>
          <w:color w:val="000000"/>
          <w:sz w:val="32"/>
          <w:szCs w:val="32"/>
          <w:highlight w:val="none"/>
          <w:lang w:val="en-US" w:eastAsia="zh-CN"/>
        </w:rPr>
      </w:pPr>
      <w:r>
        <w:rPr>
          <w:rFonts w:hint="eastAsia" w:ascii="仿宋" w:hAnsi="仿宋" w:eastAsia="仿宋" w:cs="Times New Roman"/>
          <w:b w:val="0"/>
          <w:bCs w:val="0"/>
          <w:color w:val="000000"/>
          <w:sz w:val="32"/>
          <w:szCs w:val="32"/>
          <w:highlight w:val="none"/>
          <w:lang w:val="en-US" w:eastAsia="zh-CN"/>
        </w:rPr>
        <w:t>（1）</w:t>
      </w:r>
      <w:r>
        <w:rPr>
          <w:rFonts w:hint="eastAsia" w:ascii="仿宋" w:hAnsi="仿宋" w:eastAsia="仿宋" w:cs="Times New Roman"/>
          <w:b w:val="0"/>
          <w:bCs w:val="0"/>
          <w:i w:val="0"/>
          <w:iCs w:val="0"/>
          <w:caps w:val="0"/>
          <w:color w:val="000000"/>
          <w:spacing w:val="0"/>
          <w:sz w:val="32"/>
          <w:szCs w:val="32"/>
          <w:highlight w:val="none"/>
          <w:shd w:val="clear"/>
          <w:lang w:val="en-US" w:eastAsia="zh-CN"/>
        </w:rPr>
        <w:t>收入核查程序执行不到位。</w:t>
      </w:r>
      <w:r>
        <w:rPr>
          <w:rFonts w:hint="eastAsia" w:ascii="仿宋" w:hAnsi="仿宋" w:eastAsia="仿宋" w:cs="Times New Roman"/>
          <w:i w:val="0"/>
          <w:iCs w:val="0"/>
          <w:caps w:val="0"/>
          <w:color w:val="000000"/>
          <w:spacing w:val="0"/>
          <w:sz w:val="32"/>
          <w:szCs w:val="32"/>
          <w:highlight w:val="none"/>
          <w:shd w:val="clear"/>
          <w:lang w:val="en-US" w:eastAsia="zh-CN"/>
        </w:rPr>
        <w:t>例如，对发行人运营服务业务核查不到位，未完整获取项目日记账、系统数据、客户考核扣减依据等原始资料，未充分核实实际水量与结算水量的勾稽关系，未发现相关项目结算方式与合同约定存在差异的异常情况，核查程序执行不到位，对发行人收入确认准确性发表的核查意见不审慎。</w:t>
      </w:r>
    </w:p>
    <w:p>
      <w:pPr>
        <w:keepNext w:val="0"/>
        <w:keepLines w:val="0"/>
        <w:pageBreakBefore w:val="0"/>
        <w:kinsoku/>
        <w:wordWrap/>
        <w:overflowPunct/>
        <w:topLinePunct/>
        <w:bidi w:val="0"/>
        <w:adjustRightInd w:val="0"/>
        <w:snapToGrid w:val="0"/>
        <w:spacing w:line="560" w:lineRule="exact"/>
        <w:ind w:left="0" w:right="0" w:rightChars="0" w:firstLine="640" w:firstLineChars="200"/>
        <w:rPr>
          <w:rFonts w:hint="eastAsia" w:ascii="仿宋" w:hAnsi="仿宋" w:eastAsia="仿宋" w:cs="Times New Roman"/>
          <w:i w:val="0"/>
          <w:iCs w:val="0"/>
          <w:caps w:val="0"/>
          <w:color w:val="000000"/>
          <w:spacing w:val="0"/>
          <w:sz w:val="32"/>
          <w:szCs w:val="32"/>
          <w:highlight w:val="none"/>
          <w:shd w:val="clear"/>
          <w:lang w:val="en-US" w:eastAsia="zh-CN"/>
        </w:rPr>
      </w:pPr>
      <w:r>
        <w:rPr>
          <w:rFonts w:hint="eastAsia" w:ascii="仿宋" w:hAnsi="仿宋" w:eastAsia="仿宋" w:cs="Times New Roman"/>
          <w:b w:val="0"/>
          <w:bCs w:val="0"/>
          <w:color w:val="000000"/>
          <w:sz w:val="32"/>
          <w:szCs w:val="32"/>
          <w:highlight w:val="none"/>
          <w:lang w:val="en-US" w:eastAsia="zh-CN"/>
        </w:rPr>
        <w:t>（2）关联交易核查程序执行不到位。例如，</w:t>
      </w:r>
      <w:r>
        <w:rPr>
          <w:rFonts w:hint="eastAsia" w:ascii="仿宋" w:hAnsi="仿宋" w:eastAsia="仿宋" w:cs="Times New Roman"/>
          <w:i w:val="0"/>
          <w:iCs w:val="0"/>
          <w:caps w:val="0"/>
          <w:color w:val="000000"/>
          <w:spacing w:val="0"/>
          <w:sz w:val="32"/>
          <w:szCs w:val="32"/>
          <w:highlight w:val="none"/>
          <w:shd w:val="clear"/>
          <w:lang w:val="en-US" w:eastAsia="zh-CN"/>
        </w:rPr>
        <w:t>未充分核查发行人与关联方之间的关联交易情况；对发行人股东入股资金来源核查程序执行不到位。</w:t>
      </w:r>
    </w:p>
    <w:p>
      <w:pPr>
        <w:keepNext w:val="0"/>
        <w:keepLines w:val="0"/>
        <w:pageBreakBefore w:val="0"/>
        <w:kinsoku/>
        <w:wordWrap/>
        <w:overflowPunct/>
        <w:topLinePunct/>
        <w:bidi w:val="0"/>
        <w:adjustRightInd w:val="0"/>
        <w:snapToGrid w:val="0"/>
        <w:spacing w:line="560" w:lineRule="exact"/>
        <w:ind w:left="0" w:right="0" w:rightChars="0" w:firstLine="640" w:firstLineChars="200"/>
        <w:rPr>
          <w:rFonts w:hint="eastAsia" w:ascii="仿宋" w:hAnsi="仿宋" w:eastAsia="仿宋" w:cs="Times New Roman"/>
          <w:b/>
          <w:bCs/>
          <w:color w:val="000000"/>
          <w:sz w:val="32"/>
          <w:szCs w:val="32"/>
          <w:highlight w:val="none"/>
          <w:lang w:eastAsia="zh-CN"/>
        </w:rPr>
      </w:pPr>
      <w:r>
        <w:rPr>
          <w:rFonts w:hint="eastAsia" w:ascii="仿宋" w:hAnsi="仿宋" w:eastAsia="仿宋" w:cs="Times New Roman"/>
          <w:i w:val="0"/>
          <w:iCs w:val="0"/>
          <w:caps w:val="0"/>
          <w:color w:val="000000"/>
          <w:spacing w:val="0"/>
          <w:sz w:val="32"/>
          <w:szCs w:val="32"/>
          <w:highlight w:val="none"/>
          <w:shd w:val="clear"/>
          <w:lang w:val="en-US" w:eastAsia="zh-CN"/>
        </w:rPr>
        <w:t>2</w:t>
      </w:r>
      <w:r>
        <w:rPr>
          <w:rFonts w:hint="eastAsia" w:ascii="仿宋" w:hAnsi="仿宋" w:eastAsia="仿宋" w:cs="Times New Roman"/>
          <w:b/>
          <w:bCs/>
          <w:color w:val="000000"/>
          <w:sz w:val="32"/>
          <w:szCs w:val="32"/>
          <w:highlight w:val="none"/>
        </w:rPr>
        <w:t>．</w:t>
      </w:r>
      <w:r>
        <w:rPr>
          <w:rFonts w:hint="eastAsia" w:ascii="仿宋" w:hAnsi="仿宋" w:eastAsia="仿宋" w:cs="Times New Roman"/>
          <w:b/>
          <w:bCs/>
          <w:color w:val="000000"/>
          <w:sz w:val="32"/>
          <w:szCs w:val="32"/>
          <w:highlight w:val="none"/>
          <w:lang w:eastAsia="zh-CN"/>
        </w:rPr>
        <w:t>年报审计过程中未勤勉尽责</w:t>
      </w:r>
    </w:p>
    <w:p>
      <w:pPr>
        <w:keepNext w:val="0"/>
        <w:keepLines w:val="0"/>
        <w:pageBreakBefore w:val="0"/>
        <w:kinsoku/>
        <w:wordWrap/>
        <w:overflowPunct/>
        <w:topLinePunct/>
        <w:bidi w:val="0"/>
        <w:adjustRightInd w:val="0"/>
        <w:snapToGrid w:val="0"/>
        <w:spacing w:line="560" w:lineRule="exact"/>
        <w:ind w:left="0" w:right="0" w:rightChars="0" w:firstLine="640" w:firstLineChars="200"/>
        <w:outlineLvl w:val="9"/>
        <w:rPr>
          <w:rFonts w:hint="eastAsia" w:ascii="仿宋" w:hAnsi="仿宋" w:eastAsia="仿宋" w:cs="Times New Roman"/>
          <w:i w:val="0"/>
          <w:iCs w:val="0"/>
          <w:caps w:val="0"/>
          <w:color w:val="000000"/>
          <w:spacing w:val="0"/>
          <w:sz w:val="32"/>
          <w:szCs w:val="32"/>
          <w:highlight w:val="none"/>
          <w:shd w:val="clear"/>
          <w:lang w:val="en-US" w:eastAsia="zh-CN"/>
        </w:rPr>
      </w:pPr>
      <w:r>
        <w:rPr>
          <w:rFonts w:hint="eastAsia" w:ascii="仿宋" w:hAnsi="仿宋" w:eastAsia="仿宋" w:cs="Times New Roman"/>
          <w:i w:val="0"/>
          <w:iCs w:val="0"/>
          <w:caps w:val="0"/>
          <w:color w:val="000000"/>
          <w:spacing w:val="0"/>
          <w:sz w:val="32"/>
          <w:szCs w:val="32"/>
          <w:highlight w:val="none"/>
          <w:shd w:val="clear"/>
          <w:lang w:val="en-US" w:eastAsia="zh-CN"/>
        </w:rPr>
        <w:t>（1）风险评估程序执行不到位。例如，项目组发现建造合同项目营业收入、营业成本和完工进度无可靠依据，就建造合同实际投入成本确认方法与公司存在重大分歧，但项目合伙人未将上述信息告知审计机构，以采取必要的行动。审计工作底稿中也未见项目组编制的反映前述问题的相关文件和讨论、处理情况的记录。</w:t>
      </w:r>
    </w:p>
    <w:p>
      <w:pPr>
        <w:topLinePunct/>
        <w:adjustRightInd w:val="0"/>
        <w:snapToGrid w:val="0"/>
        <w:spacing w:line="560" w:lineRule="exact"/>
        <w:ind w:firstLine="640" w:firstLineChars="200"/>
        <w:outlineLvl w:val="9"/>
        <w:rPr>
          <w:rFonts w:hint="eastAsia" w:ascii="仿宋" w:hAnsi="仿宋" w:eastAsia="仿宋" w:cs="Times New Roman"/>
          <w:i w:val="0"/>
          <w:iCs w:val="0"/>
          <w:caps w:val="0"/>
          <w:color w:val="000000"/>
          <w:spacing w:val="0"/>
          <w:sz w:val="32"/>
          <w:szCs w:val="32"/>
          <w:highlight w:val="none"/>
          <w:shd w:val="clear"/>
          <w:lang w:val="en-US" w:eastAsia="zh-CN"/>
        </w:rPr>
      </w:pPr>
      <w:r>
        <w:rPr>
          <w:rFonts w:hint="eastAsia" w:ascii="仿宋" w:hAnsi="仿宋" w:eastAsia="仿宋" w:cs="Times New Roman"/>
          <w:i w:val="0"/>
          <w:iCs w:val="0"/>
          <w:caps w:val="0"/>
          <w:color w:val="000000"/>
          <w:spacing w:val="0"/>
          <w:sz w:val="32"/>
          <w:szCs w:val="32"/>
          <w:highlight w:val="none"/>
          <w:shd w:val="clear"/>
          <w:lang w:val="en-US" w:eastAsia="zh-CN"/>
        </w:rPr>
        <w:t>（2）控制测试程序执行不到位。例如，</w:t>
      </w:r>
      <w:r>
        <w:rPr>
          <w:rFonts w:hint="eastAsia" w:ascii="仿宋" w:hAnsi="仿宋" w:eastAsia="仿宋" w:cs="Times New Roman"/>
          <w:b w:val="0"/>
          <w:i w:val="0"/>
          <w:caps w:val="0"/>
          <w:color w:val="000000"/>
          <w:spacing w:val="0"/>
          <w:sz w:val="32"/>
          <w:szCs w:val="32"/>
          <w:highlight w:val="none"/>
          <w:shd w:val="clear"/>
        </w:rPr>
        <w:t>审计工作底稿中未见了解关于建造合同业务相关的内部控制活动，未见对建造合同业务关键控制点的控制测试。</w:t>
      </w:r>
    </w:p>
    <w:p>
      <w:pPr>
        <w:topLinePunct/>
        <w:adjustRightInd w:val="0"/>
        <w:snapToGrid w:val="0"/>
        <w:spacing w:line="560" w:lineRule="exact"/>
        <w:ind w:firstLine="640" w:firstLineChars="200"/>
        <w:outlineLvl w:val="9"/>
        <w:rPr>
          <w:rFonts w:hint="eastAsia"/>
          <w:highlight w:val="none"/>
          <w:lang w:val="en-US" w:eastAsia="zh-CN"/>
        </w:rPr>
      </w:pPr>
      <w:r>
        <w:rPr>
          <w:rFonts w:hint="eastAsia" w:ascii="仿宋" w:hAnsi="仿宋" w:eastAsia="仿宋" w:cs="Times New Roman"/>
          <w:i w:val="0"/>
          <w:iCs w:val="0"/>
          <w:caps w:val="0"/>
          <w:color w:val="000000"/>
          <w:spacing w:val="0"/>
          <w:sz w:val="32"/>
          <w:szCs w:val="32"/>
          <w:highlight w:val="none"/>
          <w:shd w:val="clear"/>
          <w:lang w:val="en-US" w:eastAsia="zh-CN"/>
        </w:rPr>
        <w:t>（3）实质性程序执行不到位。一是收入核查程序执行不到位，例如，</w:t>
      </w:r>
      <w:r>
        <w:rPr>
          <w:rFonts w:hint="eastAsia" w:ascii="仿宋" w:hAnsi="仿宋" w:eastAsia="仿宋" w:cs="Times New Roman"/>
          <w:b w:val="0"/>
          <w:i w:val="0"/>
          <w:caps w:val="0"/>
          <w:color w:val="000000"/>
          <w:spacing w:val="0"/>
          <w:sz w:val="32"/>
          <w:szCs w:val="32"/>
          <w:highlight w:val="none"/>
          <w:shd w:val="clear"/>
        </w:rPr>
        <w:t>未保持应有的职业怀疑，未能发现收入确认跨期的情形。</w:t>
      </w:r>
      <w:r>
        <w:rPr>
          <w:rFonts w:hint="eastAsia" w:ascii="仿宋" w:hAnsi="仿宋" w:eastAsia="仿宋" w:cs="Times New Roman"/>
          <w:b w:val="0"/>
          <w:i w:val="0"/>
          <w:caps w:val="0"/>
          <w:color w:val="000000"/>
          <w:spacing w:val="0"/>
          <w:sz w:val="32"/>
          <w:szCs w:val="32"/>
          <w:highlight w:val="none"/>
          <w:shd w:val="clear"/>
          <w:lang w:val="en-US" w:eastAsia="zh-CN"/>
        </w:rPr>
        <w:t>二是存货核查程序执行不到位，例如，</w:t>
      </w:r>
      <w:r>
        <w:rPr>
          <w:rFonts w:hint="eastAsia" w:ascii="仿宋" w:hAnsi="仿宋" w:eastAsia="仿宋" w:cs="Times New Roman"/>
          <w:b w:val="0"/>
          <w:i w:val="0"/>
          <w:caps w:val="0"/>
          <w:color w:val="000000"/>
          <w:spacing w:val="0"/>
          <w:sz w:val="32"/>
          <w:szCs w:val="32"/>
          <w:highlight w:val="none"/>
          <w:shd w:val="clear"/>
        </w:rPr>
        <w:t>未考虑监盘日与资产负债表日之间存货的变动是否已得到恰当的记录</w:t>
      </w:r>
      <w:r>
        <w:rPr>
          <w:rFonts w:hint="eastAsia" w:ascii="仿宋" w:hAnsi="仿宋" w:eastAsia="仿宋" w:cs="Times New Roman"/>
          <w:b w:val="0"/>
          <w:i w:val="0"/>
          <w:caps w:val="0"/>
          <w:color w:val="000000"/>
          <w:spacing w:val="0"/>
          <w:sz w:val="32"/>
          <w:szCs w:val="32"/>
          <w:highlight w:val="none"/>
          <w:shd w:val="clear"/>
          <w:lang w:eastAsia="zh-CN"/>
        </w:rPr>
        <w:t>；</w:t>
      </w:r>
      <w:r>
        <w:rPr>
          <w:rFonts w:hint="eastAsia" w:ascii="仿宋" w:hAnsi="仿宋" w:eastAsia="仿宋" w:cs="Times New Roman"/>
          <w:b w:val="0"/>
          <w:i w:val="0"/>
          <w:caps w:val="0"/>
          <w:color w:val="000000"/>
          <w:spacing w:val="0"/>
          <w:sz w:val="32"/>
          <w:szCs w:val="32"/>
          <w:highlight w:val="none"/>
          <w:shd w:val="clear"/>
        </w:rPr>
        <w:t>未有效实施现场监盘程序</w:t>
      </w:r>
      <w:r>
        <w:rPr>
          <w:rFonts w:hint="eastAsia" w:ascii="仿宋" w:hAnsi="仿宋" w:eastAsia="仿宋" w:cs="Times New Roman"/>
          <w:b w:val="0"/>
          <w:i w:val="0"/>
          <w:caps w:val="0"/>
          <w:color w:val="000000"/>
          <w:spacing w:val="0"/>
          <w:sz w:val="32"/>
          <w:szCs w:val="32"/>
          <w:highlight w:val="none"/>
          <w:shd w:val="clear"/>
          <w:lang w:eastAsia="zh-CN"/>
        </w:rPr>
        <w:t>；未发现公司仍需加工存货的可变现净值未考虑至完工时估计将要发生的成本；未关注当年已停止生产业务涉及的原材料存货跌价准备计提的充分性。</w:t>
      </w:r>
      <w:r>
        <w:rPr>
          <w:rFonts w:hint="eastAsia" w:ascii="仿宋" w:hAnsi="仿宋" w:eastAsia="仿宋" w:cs="Times New Roman"/>
          <w:b w:val="0"/>
          <w:i w:val="0"/>
          <w:caps w:val="0"/>
          <w:color w:val="000000"/>
          <w:spacing w:val="0"/>
          <w:sz w:val="32"/>
          <w:szCs w:val="32"/>
          <w:highlight w:val="none"/>
          <w:shd w:val="clear"/>
          <w:lang w:val="en-US" w:eastAsia="zh-CN"/>
        </w:rPr>
        <w:t>三是商誉核查程序执行不到位，例如，在利用管理层专家工作时，未能发现重要子公司核心管理层发生重大变更的情况，未能复核发现收入预测等关键评估参数依据不充分的情况。四是成本及费用核查程序执行不到位，例如，未关注客户退回不合格产品损失确认为研发费用的合理性</w:t>
      </w:r>
      <w:r>
        <w:rPr>
          <w:rFonts w:hint="eastAsia" w:ascii="仿宋" w:hAnsi="仿宋" w:eastAsia="仿宋" w:cs="Times New Roman"/>
          <w:b w:val="0"/>
          <w:i w:val="0"/>
          <w:caps w:val="0"/>
          <w:color w:val="000000"/>
          <w:spacing w:val="0"/>
          <w:sz w:val="32"/>
          <w:szCs w:val="32"/>
          <w:highlight w:val="none"/>
          <w:shd w:val="clear"/>
          <w:lang w:eastAsia="zh-CN"/>
        </w:rPr>
        <w:t>；</w:t>
      </w:r>
      <w:r>
        <w:rPr>
          <w:rFonts w:hint="eastAsia" w:ascii="仿宋" w:hAnsi="仿宋" w:eastAsia="仿宋" w:cs="Times New Roman"/>
          <w:b w:val="0"/>
          <w:i w:val="0"/>
          <w:caps w:val="0"/>
          <w:color w:val="000000"/>
          <w:spacing w:val="0"/>
          <w:sz w:val="32"/>
          <w:szCs w:val="32"/>
          <w:highlight w:val="none"/>
          <w:shd w:val="clear"/>
          <w:lang w:val="en-US" w:eastAsia="zh-CN"/>
        </w:rPr>
        <w:t>未对子公司替公司承担报废品成本的合理性获取充分适当审计证据。</w:t>
      </w:r>
    </w:p>
    <w:p>
      <w:pPr>
        <w:keepNext w:val="0"/>
        <w:keepLines w:val="0"/>
        <w:pageBreakBefore w:val="0"/>
        <w:kinsoku/>
        <w:wordWrap/>
        <w:overflowPunct/>
        <w:topLinePunct/>
        <w:bidi w:val="0"/>
        <w:adjustRightInd w:val="0"/>
        <w:snapToGrid w:val="0"/>
        <w:spacing w:line="560" w:lineRule="exact"/>
        <w:ind w:left="0" w:right="0" w:rightChars="0" w:firstLine="640" w:firstLineChars="200"/>
        <w:rPr>
          <w:rFonts w:hint="eastAsia" w:ascii="仿宋" w:hAnsi="仿宋" w:eastAsia="仿宋" w:cs="Times New Roman"/>
          <w:color w:val="000000"/>
          <w:sz w:val="32"/>
          <w:szCs w:val="32"/>
          <w:highlight w:val="none"/>
          <w:lang w:eastAsia="zh-CN"/>
        </w:rPr>
      </w:pPr>
      <w:r>
        <w:rPr>
          <w:rFonts w:hint="eastAsia" w:ascii="仿宋" w:hAnsi="仿宋" w:eastAsia="仿宋" w:cs="Times New Roman"/>
          <w:color w:val="000000"/>
          <w:sz w:val="32"/>
          <w:szCs w:val="32"/>
          <w:highlight w:val="none"/>
        </w:rPr>
        <w:t>202</w:t>
      </w: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6</w:t>
      </w:r>
      <w:r>
        <w:rPr>
          <w:rFonts w:hint="eastAsia" w:ascii="仿宋" w:hAnsi="仿宋" w:eastAsia="仿宋" w:cs="Times New Roman"/>
          <w:color w:val="000000"/>
          <w:sz w:val="32"/>
          <w:szCs w:val="32"/>
          <w:highlight w:val="none"/>
        </w:rPr>
        <w:t>月，我所对</w:t>
      </w:r>
      <w:r>
        <w:rPr>
          <w:rFonts w:hint="eastAsia" w:ascii="仿宋" w:hAnsi="仿宋" w:eastAsia="仿宋" w:cs="Times New Roman"/>
          <w:color w:val="000000"/>
          <w:sz w:val="32"/>
          <w:szCs w:val="32"/>
          <w:highlight w:val="none"/>
          <w:lang w:val="en-US" w:eastAsia="zh-CN"/>
        </w:rPr>
        <w:t>资产评估</w:t>
      </w:r>
      <w:r>
        <w:rPr>
          <w:rFonts w:hint="eastAsia" w:ascii="仿宋" w:hAnsi="仿宋" w:eastAsia="仿宋" w:cs="Times New Roman"/>
          <w:color w:val="000000"/>
          <w:sz w:val="32"/>
          <w:szCs w:val="32"/>
          <w:highlight w:val="none"/>
        </w:rPr>
        <w:t>机构及其从业人员作出</w:t>
      </w:r>
      <w:r>
        <w:rPr>
          <w:rFonts w:hint="eastAsia" w:ascii="仿宋" w:hAnsi="仿宋" w:eastAsia="仿宋" w:cs="Times New Roman"/>
          <w:color w:val="000000"/>
          <w:sz w:val="32"/>
          <w:szCs w:val="32"/>
          <w:highlight w:val="none"/>
          <w:lang w:val="en-US" w:eastAsia="zh-CN"/>
        </w:rPr>
        <w:t>通报批评1例、书面警示1例，涉及2家次资产评估机构及4人次从业人员</w:t>
      </w:r>
      <w:r>
        <w:rPr>
          <w:rFonts w:hint="eastAsia" w:ascii="仿宋" w:hAnsi="仿宋" w:eastAsia="仿宋" w:cs="Times New Roman"/>
          <w:color w:val="000000"/>
          <w:sz w:val="32"/>
          <w:szCs w:val="32"/>
          <w:highlight w:val="none"/>
          <w:lang w:eastAsia="zh-CN"/>
        </w:rPr>
        <w:t>，主要执业质量问题为评估执业时收集资料不充分，现场调查程序执行流于形式；对重要评估参数的评估复核不到位；未充分核查</w:t>
      </w:r>
      <w:r>
        <w:rPr>
          <w:rFonts w:hint="eastAsia" w:ascii="仿宋" w:hAnsi="仿宋" w:eastAsia="仿宋" w:cs="Times New Roman"/>
          <w:color w:val="000000"/>
          <w:sz w:val="32"/>
          <w:szCs w:val="32"/>
          <w:highlight w:val="none"/>
          <w:lang w:val="en-US" w:eastAsia="zh-CN"/>
        </w:rPr>
        <w:t>设备改造费用、存在状态及权属等；评估报告记载的评估方法与实际评估方法不符；评估报告未说明关于专家工作的内容</w:t>
      </w:r>
      <w:r>
        <w:rPr>
          <w:rFonts w:hint="eastAsia" w:ascii="仿宋" w:hAnsi="仿宋" w:eastAsia="仿宋" w:cs="Times New Roman"/>
          <w:color w:val="000000"/>
          <w:sz w:val="32"/>
          <w:szCs w:val="32"/>
          <w:highlight w:val="none"/>
          <w:lang w:eastAsia="zh-CN"/>
        </w:rPr>
        <w:t>。</w:t>
      </w:r>
    </w:p>
    <w:p>
      <w:pPr>
        <w:keepNext w:val="0"/>
        <w:keepLines w:val="0"/>
        <w:pageBreakBefore w:val="0"/>
        <w:kinsoku/>
        <w:wordWrap/>
        <w:overflowPunct/>
        <w:topLinePunct/>
        <w:bidi w:val="0"/>
        <w:adjustRightInd w:val="0"/>
        <w:snapToGrid w:val="0"/>
        <w:spacing w:line="560" w:lineRule="exact"/>
        <w:ind w:left="0" w:right="0" w:rightChars="0"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二</w:t>
      </w:r>
      <w:r>
        <w:rPr>
          <w:rFonts w:hint="eastAsia" w:ascii="楷体" w:hAnsi="楷体" w:eastAsia="楷体" w:cs="Times New Roman"/>
          <w:color w:val="000000"/>
          <w:sz w:val="32"/>
          <w:szCs w:val="32"/>
          <w:highlight w:val="none"/>
        </w:rPr>
        <w:t>）审计评估机构行政处罚情况</w:t>
      </w:r>
    </w:p>
    <w:p>
      <w:pPr>
        <w:keepNext w:val="0"/>
        <w:keepLines w:val="0"/>
        <w:pageBreakBefore w:val="0"/>
        <w:kinsoku/>
        <w:wordWrap/>
        <w:overflowPunct/>
        <w:topLinePunct/>
        <w:bidi w:val="0"/>
        <w:adjustRightInd w:val="0"/>
        <w:snapToGrid w:val="0"/>
        <w:spacing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公开信息显示，202</w:t>
      </w: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年</w:t>
      </w:r>
      <w:r>
        <w:rPr>
          <w:rFonts w:hint="eastAsia" w:ascii="仿宋" w:hAnsi="仿宋" w:eastAsia="仿宋" w:cs="Times New Roman"/>
          <w:color w:val="000000"/>
          <w:sz w:val="32"/>
          <w:szCs w:val="32"/>
          <w:highlight w:val="none"/>
          <w:lang w:val="en-US" w:eastAsia="zh-CN"/>
        </w:rPr>
        <w:t>4</w:t>
      </w:r>
      <w:r>
        <w:rPr>
          <w:rFonts w:hint="eastAsia" w:ascii="仿宋" w:hAnsi="仿宋" w:eastAsia="仿宋" w:cs="Times New Roman"/>
          <w:color w:val="000000"/>
          <w:sz w:val="32"/>
          <w:szCs w:val="32"/>
          <w:highlight w:val="none"/>
        </w:rPr>
        <w:t>月至</w:t>
      </w:r>
      <w:r>
        <w:rPr>
          <w:rFonts w:hint="eastAsia" w:ascii="仿宋" w:hAnsi="仿宋" w:eastAsia="仿宋" w:cs="Times New Roman"/>
          <w:color w:val="000000"/>
          <w:sz w:val="32"/>
          <w:szCs w:val="32"/>
          <w:highlight w:val="none"/>
          <w:lang w:val="en-US" w:eastAsia="zh-CN"/>
        </w:rPr>
        <w:t>6</w:t>
      </w:r>
      <w:r>
        <w:rPr>
          <w:rFonts w:hint="eastAsia" w:ascii="仿宋" w:hAnsi="仿宋" w:eastAsia="仿宋" w:cs="Times New Roman"/>
          <w:color w:val="000000"/>
          <w:sz w:val="32"/>
          <w:szCs w:val="32"/>
          <w:highlight w:val="none"/>
        </w:rPr>
        <w:t>月，证监会及其派出机构共</w:t>
      </w:r>
      <w:r>
        <w:rPr>
          <w:rFonts w:hint="eastAsia" w:ascii="仿宋" w:hAnsi="仿宋" w:eastAsia="仿宋" w:cs="Times New Roman"/>
          <w:color w:val="000000"/>
          <w:sz w:val="32"/>
          <w:szCs w:val="32"/>
          <w:highlight w:val="none"/>
          <w:lang w:val="en-US" w:eastAsia="zh-CN"/>
        </w:rPr>
        <w:t>对</w:t>
      </w:r>
      <w:r>
        <w:rPr>
          <w:rFonts w:ascii="仿宋" w:hAnsi="仿宋" w:eastAsia="仿宋" w:cs="Times New Roman"/>
          <w:color w:val="000000"/>
          <w:sz w:val="32"/>
          <w:szCs w:val="32"/>
          <w:highlight w:val="none"/>
        </w:rPr>
        <w:t>深市上市公司</w:t>
      </w:r>
      <w:r>
        <w:rPr>
          <w:rFonts w:hint="eastAsia" w:ascii="仿宋" w:hAnsi="仿宋" w:eastAsia="仿宋" w:cs="Times New Roman"/>
          <w:color w:val="000000"/>
          <w:sz w:val="32"/>
          <w:szCs w:val="32"/>
          <w:highlight w:val="none"/>
          <w:lang w:eastAsia="zh-CN"/>
        </w:rPr>
        <w:t>聘任的</w:t>
      </w:r>
      <w:r>
        <w:rPr>
          <w:rFonts w:hint="eastAsia" w:ascii="仿宋" w:hAnsi="仿宋" w:eastAsia="仿宋" w:cs="Times New Roman"/>
          <w:color w:val="000000"/>
          <w:sz w:val="32"/>
          <w:szCs w:val="32"/>
          <w:highlight w:val="none"/>
        </w:rPr>
        <w:t>审计机构</w:t>
      </w:r>
      <w:r>
        <w:rPr>
          <w:rFonts w:hint="eastAsia" w:ascii="仿宋" w:hAnsi="仿宋" w:eastAsia="仿宋" w:cs="Times New Roman"/>
          <w:color w:val="000000"/>
          <w:sz w:val="32"/>
          <w:szCs w:val="32"/>
          <w:highlight w:val="none"/>
          <w:lang w:val="en-US" w:eastAsia="zh-CN"/>
        </w:rPr>
        <w:t>作出9单行政处罚及1单市场禁入，</w:t>
      </w:r>
      <w:r>
        <w:rPr>
          <w:rFonts w:hint="eastAsia" w:ascii="仿宋" w:hAnsi="仿宋" w:eastAsia="仿宋" w:cs="Times New Roman"/>
          <w:color w:val="000000"/>
          <w:sz w:val="32"/>
          <w:szCs w:val="32"/>
          <w:highlight w:val="none"/>
        </w:rPr>
        <w:t>相关审计机构执业质量问题主要表现为：</w:t>
      </w:r>
    </w:p>
    <w:p>
      <w:pPr>
        <w:topLinePunct/>
        <w:adjustRightInd w:val="0"/>
        <w:snapToGrid w:val="0"/>
        <w:spacing w:line="560" w:lineRule="exact"/>
        <w:ind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1</w:t>
      </w:r>
      <w:r>
        <w:rPr>
          <w:rFonts w:hint="eastAsia" w:ascii="仿宋" w:hAnsi="仿宋" w:eastAsia="仿宋" w:cs="Times New Roman"/>
          <w:color w:val="000000"/>
          <w:sz w:val="32"/>
          <w:szCs w:val="32"/>
          <w:highlight w:val="none"/>
        </w:rPr>
        <w:t>．</w:t>
      </w:r>
      <w:r>
        <w:rPr>
          <w:rFonts w:hint="eastAsia" w:ascii="仿宋" w:hAnsi="仿宋" w:eastAsia="仿宋" w:cs="Times New Roman"/>
          <w:i w:val="0"/>
          <w:iCs w:val="0"/>
          <w:caps w:val="0"/>
          <w:color w:val="000000"/>
          <w:spacing w:val="0"/>
          <w:sz w:val="32"/>
          <w:szCs w:val="32"/>
          <w:highlight w:val="none"/>
          <w:shd w:val="clear"/>
          <w:lang w:val="en-US" w:eastAsia="zh-CN"/>
        </w:rPr>
        <w:t>风险评估程序执行不到位。例如，</w:t>
      </w:r>
      <w:r>
        <w:rPr>
          <w:rFonts w:hint="eastAsia" w:ascii="仿宋" w:hAnsi="仿宋" w:eastAsia="仿宋" w:cs="Times New Roman"/>
          <w:color w:val="000000"/>
          <w:sz w:val="32"/>
          <w:szCs w:val="32"/>
          <w:highlight w:val="none"/>
        </w:rPr>
        <w:t>未能有效识别舞弊风险</w:t>
      </w:r>
      <w:r>
        <w:rPr>
          <w:rFonts w:hint="eastAsia" w:ascii="仿宋" w:hAnsi="仿宋" w:eastAsia="仿宋" w:cs="Times New Roman"/>
          <w:color w:val="000000"/>
          <w:sz w:val="32"/>
          <w:szCs w:val="32"/>
          <w:highlight w:val="none"/>
          <w:lang w:eastAsia="zh-CN"/>
        </w:rPr>
        <w:t>；未对</w:t>
      </w:r>
      <w:r>
        <w:rPr>
          <w:rFonts w:hint="eastAsia" w:ascii="仿宋" w:hAnsi="仿宋" w:eastAsia="仿宋" w:cs="Times New Roman"/>
          <w:color w:val="000000"/>
          <w:sz w:val="32"/>
          <w:szCs w:val="32"/>
          <w:highlight w:val="none"/>
          <w:lang w:val="en-US" w:eastAsia="zh-CN"/>
        </w:rPr>
        <w:t>公司</w:t>
      </w:r>
      <w:r>
        <w:rPr>
          <w:rFonts w:hint="eastAsia" w:ascii="仿宋" w:hAnsi="仿宋" w:eastAsia="仿宋" w:cs="Times New Roman"/>
          <w:color w:val="000000"/>
          <w:sz w:val="32"/>
          <w:szCs w:val="32"/>
          <w:highlight w:val="none"/>
          <w:lang w:eastAsia="zh-CN"/>
        </w:rPr>
        <w:t>是否存在收入舞弊导致的重大错报获取合理保证；</w:t>
      </w:r>
      <w:r>
        <w:rPr>
          <w:rFonts w:hint="eastAsia" w:ascii="仿宋" w:hAnsi="仿宋" w:eastAsia="仿宋" w:cs="Times New Roman"/>
          <w:b w:val="0"/>
          <w:i w:val="0"/>
          <w:caps w:val="0"/>
          <w:color w:val="000000"/>
          <w:spacing w:val="0"/>
          <w:sz w:val="32"/>
          <w:szCs w:val="32"/>
          <w:highlight w:val="none"/>
          <w:shd w:val="clear"/>
        </w:rPr>
        <w:t>未充分识别和评估</w:t>
      </w:r>
      <w:r>
        <w:rPr>
          <w:rFonts w:hint="eastAsia" w:ascii="仿宋" w:hAnsi="仿宋" w:eastAsia="仿宋" w:cs="Times New Roman"/>
          <w:b w:val="0"/>
          <w:i w:val="0"/>
          <w:caps w:val="0"/>
          <w:color w:val="000000"/>
          <w:spacing w:val="0"/>
          <w:sz w:val="32"/>
          <w:szCs w:val="32"/>
          <w:highlight w:val="none"/>
          <w:shd w:val="clear"/>
          <w:lang w:val="en-US" w:eastAsia="zh-CN"/>
        </w:rPr>
        <w:t>公司</w:t>
      </w:r>
      <w:r>
        <w:rPr>
          <w:rFonts w:hint="eastAsia" w:ascii="仿宋" w:hAnsi="仿宋" w:eastAsia="仿宋" w:cs="Times New Roman"/>
          <w:b w:val="0"/>
          <w:i w:val="0"/>
          <w:caps w:val="0"/>
          <w:color w:val="000000"/>
          <w:spacing w:val="0"/>
          <w:sz w:val="32"/>
          <w:szCs w:val="32"/>
          <w:highlight w:val="none"/>
          <w:shd w:val="clear"/>
        </w:rPr>
        <w:t>二次更换审计机构及前任注册会计师所反映的境外业务审计受限事项的影响</w:t>
      </w:r>
      <w:r>
        <w:rPr>
          <w:rFonts w:hint="eastAsia" w:ascii="仿宋" w:hAnsi="仿宋" w:eastAsia="仿宋" w:cs="Times New Roman"/>
          <w:b w:val="0"/>
          <w:i w:val="0"/>
          <w:caps w:val="0"/>
          <w:color w:val="000000"/>
          <w:spacing w:val="0"/>
          <w:sz w:val="32"/>
          <w:szCs w:val="32"/>
          <w:highlight w:val="none"/>
          <w:shd w:val="clear"/>
          <w:lang w:eastAsia="zh-CN"/>
        </w:rPr>
        <w:t>；</w:t>
      </w:r>
      <w:r>
        <w:rPr>
          <w:rFonts w:hint="eastAsia" w:ascii="仿宋" w:hAnsi="仿宋" w:eastAsia="仿宋" w:cs="Times New Roman"/>
          <w:b w:val="0"/>
          <w:i w:val="0"/>
          <w:caps w:val="0"/>
          <w:color w:val="000000"/>
          <w:spacing w:val="0"/>
          <w:sz w:val="32"/>
          <w:szCs w:val="32"/>
          <w:highlight w:val="none"/>
          <w:shd w:val="clear"/>
        </w:rPr>
        <w:t>未对由非</w:t>
      </w:r>
      <w:r>
        <w:rPr>
          <w:rFonts w:hint="eastAsia" w:ascii="仿宋" w:hAnsi="仿宋" w:eastAsia="仿宋" w:cs="Times New Roman"/>
          <w:b w:val="0"/>
          <w:i w:val="0"/>
          <w:caps w:val="0"/>
          <w:color w:val="000000"/>
          <w:spacing w:val="0"/>
          <w:sz w:val="32"/>
          <w:szCs w:val="32"/>
          <w:highlight w:val="none"/>
          <w:shd w:val="clear"/>
          <w:lang w:val="en-US" w:eastAsia="zh-CN"/>
        </w:rPr>
        <w:t>公司</w:t>
      </w:r>
      <w:r>
        <w:rPr>
          <w:rFonts w:hint="eastAsia" w:ascii="仿宋" w:hAnsi="仿宋" w:eastAsia="仿宋" w:cs="Times New Roman"/>
          <w:b w:val="0"/>
          <w:i w:val="0"/>
          <w:caps w:val="0"/>
          <w:color w:val="000000"/>
          <w:spacing w:val="0"/>
          <w:sz w:val="32"/>
          <w:szCs w:val="32"/>
          <w:highlight w:val="none"/>
          <w:shd w:val="clear"/>
        </w:rPr>
        <w:t>财务负责人对接审计工作保持职业怀疑。</w:t>
      </w:r>
    </w:p>
    <w:p>
      <w:pPr>
        <w:keepNext w:val="0"/>
        <w:keepLines w:val="0"/>
        <w:pageBreakBefore w:val="0"/>
        <w:kinsoku/>
        <w:wordWrap/>
        <w:overflowPunct/>
        <w:topLinePunct/>
        <w:bidi w:val="0"/>
        <w:adjustRightInd w:val="0"/>
        <w:snapToGrid w:val="0"/>
        <w:spacing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w:t>
      </w:r>
      <w:r>
        <w:rPr>
          <w:rFonts w:hint="eastAsia" w:ascii="仿宋" w:hAnsi="仿宋" w:eastAsia="仿宋" w:cs="Times New Roman"/>
          <w:color w:val="000000"/>
          <w:sz w:val="32"/>
          <w:szCs w:val="32"/>
          <w:highlight w:val="none"/>
        </w:rPr>
        <w:t>．</w:t>
      </w:r>
      <w:r>
        <w:rPr>
          <w:rFonts w:hint="eastAsia" w:ascii="仿宋" w:hAnsi="仿宋" w:eastAsia="仿宋" w:cs="Times New Roman"/>
          <w:color w:val="000000"/>
          <w:sz w:val="32"/>
          <w:szCs w:val="32"/>
          <w:highlight w:val="none"/>
          <w:lang w:val="en-US" w:eastAsia="zh-CN"/>
        </w:rPr>
        <w:t>控制测试执行不到位。例如，</w:t>
      </w:r>
      <w:r>
        <w:rPr>
          <w:rFonts w:hint="eastAsia" w:ascii="仿宋" w:hAnsi="仿宋" w:eastAsia="仿宋" w:cs="Times New Roman"/>
          <w:b w:val="0"/>
          <w:i w:val="0"/>
          <w:caps w:val="0"/>
          <w:color w:val="000000"/>
          <w:spacing w:val="0"/>
          <w:sz w:val="32"/>
          <w:szCs w:val="32"/>
          <w:highlight w:val="none"/>
          <w:shd w:val="clear"/>
        </w:rPr>
        <w:t>在销</w:t>
      </w:r>
      <w:r>
        <w:rPr>
          <w:rFonts w:hint="eastAsia" w:ascii="仿宋" w:hAnsi="仿宋" w:eastAsia="仿宋" w:cs="Times New Roman"/>
          <w:b w:val="0"/>
          <w:i w:val="0"/>
          <w:caps w:val="0"/>
          <w:color w:val="000000"/>
          <w:spacing w:val="0"/>
          <w:sz w:val="32"/>
          <w:szCs w:val="32"/>
          <w:highlight w:val="none"/>
          <w:shd w:val="clear" w:fill="auto"/>
        </w:rPr>
        <w:t>售与收款流程控制测试过程中，未充分关注合同审批控制测试存在偏差</w:t>
      </w:r>
      <w:r>
        <w:rPr>
          <w:rFonts w:hint="eastAsia" w:ascii="仿宋" w:hAnsi="仿宋" w:eastAsia="仿宋" w:cs="Times New Roman"/>
          <w:b w:val="0"/>
          <w:i w:val="0"/>
          <w:caps w:val="0"/>
          <w:color w:val="000000"/>
          <w:spacing w:val="0"/>
          <w:sz w:val="32"/>
          <w:szCs w:val="32"/>
          <w:highlight w:val="none"/>
          <w:shd w:val="clear"/>
          <w:lang w:eastAsia="zh-CN"/>
        </w:rPr>
        <w:t>；</w:t>
      </w:r>
      <w:r>
        <w:rPr>
          <w:rFonts w:hint="eastAsia" w:ascii="仿宋" w:hAnsi="仿宋" w:eastAsia="仿宋" w:cs="Times New Roman"/>
          <w:b w:val="0"/>
          <w:i w:val="0"/>
          <w:caps w:val="0"/>
          <w:color w:val="000000"/>
          <w:spacing w:val="0"/>
          <w:sz w:val="32"/>
          <w:szCs w:val="32"/>
          <w:highlight w:val="none"/>
          <w:shd w:val="clear" w:fill="auto"/>
        </w:rPr>
        <w:t>未基于销售订单总体特征选取测试样本</w:t>
      </w:r>
      <w:r>
        <w:rPr>
          <w:rFonts w:hint="eastAsia" w:ascii="仿宋" w:hAnsi="仿宋" w:eastAsia="仿宋" w:cs="Times New Roman"/>
          <w:b w:val="0"/>
          <w:i w:val="0"/>
          <w:caps w:val="0"/>
          <w:color w:val="000000"/>
          <w:spacing w:val="0"/>
          <w:sz w:val="32"/>
          <w:szCs w:val="32"/>
          <w:highlight w:val="none"/>
          <w:shd w:val="clear"/>
          <w:lang w:eastAsia="zh-CN"/>
        </w:rPr>
        <w:t>；</w:t>
      </w:r>
      <w:r>
        <w:rPr>
          <w:rFonts w:hint="eastAsia" w:ascii="仿宋" w:hAnsi="仿宋" w:eastAsia="仿宋" w:cs="Times New Roman"/>
          <w:b w:val="0"/>
          <w:i w:val="0"/>
          <w:caps w:val="0"/>
          <w:color w:val="000000"/>
          <w:spacing w:val="0"/>
          <w:sz w:val="32"/>
          <w:szCs w:val="32"/>
          <w:highlight w:val="none"/>
          <w:shd w:val="clear" w:fill="auto"/>
        </w:rPr>
        <w:t>未关注销售订单相关会计凭证存在的明显异常情况</w:t>
      </w:r>
      <w:r>
        <w:rPr>
          <w:rFonts w:hint="eastAsia" w:ascii="仿宋" w:hAnsi="仿宋" w:eastAsia="仿宋" w:cs="Times New Roman"/>
          <w:b w:val="0"/>
          <w:i w:val="0"/>
          <w:caps w:val="0"/>
          <w:color w:val="000000"/>
          <w:spacing w:val="0"/>
          <w:sz w:val="32"/>
          <w:szCs w:val="32"/>
          <w:highlight w:val="none"/>
          <w:shd w:val="clear"/>
          <w:lang w:eastAsia="zh-CN"/>
        </w:rPr>
        <w:t>；</w:t>
      </w:r>
      <w:r>
        <w:rPr>
          <w:rFonts w:hint="eastAsia" w:ascii="仿宋" w:hAnsi="仿宋" w:eastAsia="仿宋" w:cs="Times New Roman"/>
          <w:b w:val="0"/>
          <w:i w:val="0"/>
          <w:caps w:val="0"/>
          <w:color w:val="000000"/>
          <w:spacing w:val="0"/>
          <w:sz w:val="32"/>
          <w:szCs w:val="32"/>
          <w:highlight w:val="none"/>
          <w:shd w:val="clear" w:fill="auto"/>
        </w:rPr>
        <w:t>收款控制测试流于形式。</w:t>
      </w:r>
    </w:p>
    <w:p>
      <w:pPr>
        <w:keepNext w:val="0"/>
        <w:keepLines w:val="0"/>
        <w:pageBreakBefore w:val="0"/>
        <w:kinsoku/>
        <w:wordWrap/>
        <w:overflowPunct/>
        <w:topLinePunct/>
        <w:bidi w:val="0"/>
        <w:adjustRightInd w:val="0"/>
        <w:snapToGrid w:val="0"/>
        <w:spacing w:line="560" w:lineRule="exact"/>
        <w:ind w:left="0" w:right="0" w:rightChars="0" w:firstLine="640" w:firstLineChars="20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3</w:t>
      </w:r>
      <w:r>
        <w:rPr>
          <w:rFonts w:hint="eastAsia" w:ascii="仿宋" w:hAnsi="仿宋" w:eastAsia="仿宋" w:cs="Times New Roman"/>
          <w:color w:val="000000"/>
          <w:sz w:val="32"/>
          <w:szCs w:val="32"/>
          <w:highlight w:val="none"/>
        </w:rPr>
        <w:t>．</w:t>
      </w:r>
      <w:r>
        <w:rPr>
          <w:rFonts w:hint="eastAsia" w:ascii="仿宋" w:hAnsi="仿宋" w:eastAsia="仿宋" w:cs="Times New Roman"/>
          <w:color w:val="000000"/>
          <w:sz w:val="32"/>
          <w:szCs w:val="32"/>
          <w:highlight w:val="none"/>
          <w:lang w:val="en-US" w:eastAsia="zh-CN"/>
        </w:rPr>
        <w:t>实质性程序执行不到位。</w:t>
      </w:r>
      <w:r>
        <w:rPr>
          <w:rFonts w:hint="eastAsia" w:ascii="仿宋" w:hAnsi="仿宋" w:eastAsia="仿宋" w:cs="Times New Roman"/>
          <w:b/>
          <w:bCs/>
          <w:color w:val="000000"/>
          <w:sz w:val="32"/>
          <w:szCs w:val="32"/>
          <w:highlight w:val="none"/>
          <w:lang w:val="en-US" w:eastAsia="zh-CN"/>
        </w:rPr>
        <w:t>一是</w:t>
      </w:r>
      <w:r>
        <w:rPr>
          <w:rFonts w:hint="eastAsia" w:ascii="仿宋" w:hAnsi="仿宋" w:eastAsia="仿宋" w:cs="Times New Roman"/>
          <w:color w:val="000000"/>
          <w:sz w:val="32"/>
          <w:szCs w:val="32"/>
          <w:highlight w:val="none"/>
          <w:lang w:val="en-US" w:eastAsia="zh-CN"/>
        </w:rPr>
        <w:t>收入相关核查程序执行不到位，例如，在服务商拒绝提供运营商业务数据的情况下，未实施有效的审计程序；未关注到部分审计证据存在异常或相互矛盾，如部分销售订单的客户名称与销售合同及其印章中的客户名称存在明显差异等。</w:t>
      </w:r>
      <w:r>
        <w:rPr>
          <w:rFonts w:hint="eastAsia" w:ascii="仿宋" w:hAnsi="仿宋" w:eastAsia="仿宋" w:cs="Times New Roman"/>
          <w:b/>
          <w:bCs/>
          <w:color w:val="000000"/>
          <w:sz w:val="32"/>
          <w:szCs w:val="32"/>
          <w:highlight w:val="none"/>
          <w:lang w:val="en-US" w:eastAsia="zh-CN"/>
        </w:rPr>
        <w:t>二是</w:t>
      </w:r>
      <w:r>
        <w:rPr>
          <w:rFonts w:hint="eastAsia" w:ascii="仿宋" w:hAnsi="仿宋" w:eastAsia="仿宋" w:cs="Times New Roman"/>
          <w:color w:val="000000"/>
          <w:sz w:val="32"/>
          <w:szCs w:val="32"/>
          <w:highlight w:val="none"/>
          <w:lang w:val="en-US" w:eastAsia="zh-CN"/>
        </w:rPr>
        <w:t>函证程序执行不到位，例如，未完整记录函证过程，未对反映财务舞弊迹象的回函差异及回函内容前后不一致等情况保持应有的职业怀疑；未按计划执行收入舞弊风险相关函证程序；未通过官网查询等恰当方式核实公司提供的客户地址、联系人及联系电话；在审计过程中关注到了部分境外客户函证地址为境内地址，但未进一步获取充分的审计证据以消除疑虑。</w:t>
      </w:r>
      <w:r>
        <w:rPr>
          <w:rFonts w:hint="eastAsia" w:ascii="仿宋" w:hAnsi="仿宋" w:eastAsia="仿宋" w:cs="Times New Roman"/>
          <w:b/>
          <w:bCs/>
          <w:color w:val="000000"/>
          <w:sz w:val="32"/>
          <w:szCs w:val="32"/>
          <w:highlight w:val="none"/>
          <w:lang w:val="en-US" w:eastAsia="zh-CN"/>
        </w:rPr>
        <w:t>三是</w:t>
      </w:r>
      <w:r>
        <w:rPr>
          <w:rFonts w:hint="eastAsia" w:ascii="仿宋" w:hAnsi="仿宋" w:eastAsia="仿宋" w:cs="Times New Roman"/>
          <w:color w:val="000000"/>
          <w:sz w:val="32"/>
          <w:szCs w:val="32"/>
          <w:highlight w:val="none"/>
          <w:lang w:val="en-US" w:eastAsia="zh-CN"/>
        </w:rPr>
        <w:t>访谈程序执行不到位，例如，在执行客户视频访谈过程中，未全面核验被访谈对象的身份。</w:t>
      </w:r>
    </w:p>
    <w:p>
      <w:pPr>
        <w:topLinePunct/>
        <w:adjustRightInd w:val="0"/>
        <w:snapToGrid w:val="0"/>
        <w:spacing w:line="560" w:lineRule="exact"/>
        <w:ind w:firstLine="640" w:firstLineChars="200"/>
        <w:outlineLvl w:val="0"/>
        <w:rPr>
          <w:rFonts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t>二、典型案例研究</w:t>
      </w:r>
    </w:p>
    <w:p>
      <w:pPr>
        <w:keepNext w:val="0"/>
        <w:keepLines w:val="0"/>
        <w:pageBreakBefore w:val="0"/>
        <w:kinsoku/>
        <w:wordWrap/>
        <w:overflowPunct/>
        <w:topLinePunct/>
        <w:bidi w:val="0"/>
        <w:adjustRightInd w:val="0"/>
        <w:snapToGrid w:val="0"/>
        <w:spacing w:line="560" w:lineRule="exact"/>
        <w:ind w:left="0" w:right="0" w:rightChars="0" w:firstLine="640" w:firstLineChars="200"/>
        <w:outlineLvl w:val="1"/>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（一）</w:t>
      </w:r>
      <w:r>
        <w:rPr>
          <w:rFonts w:hint="eastAsia" w:ascii="楷体" w:hAnsi="楷体" w:eastAsia="楷体" w:cs="Times New Roman"/>
          <w:color w:val="000000"/>
          <w:sz w:val="32"/>
          <w:szCs w:val="32"/>
          <w:highlight w:val="none"/>
          <w:lang w:val="en-US" w:eastAsia="zh-CN"/>
        </w:rPr>
        <w:t>关于会计差错</w:t>
      </w:r>
      <w:r>
        <w:rPr>
          <w:rFonts w:hint="eastAsia" w:ascii="楷体" w:hAnsi="楷体" w:eastAsia="楷体" w:cs="Times New Roman"/>
          <w:color w:val="000000"/>
          <w:sz w:val="32"/>
          <w:szCs w:val="32"/>
          <w:highlight w:val="none"/>
        </w:rPr>
        <w:t>的相关问题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案例一：退回违规补贴资金是否属于会计差错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1．案例及相关问题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A公司主要从事光伏电站投资运营业务，符合条件的光伏电站在发电上网后可按规定享受相应可再生能源电价补贴，电价补贴计入主营业务收入。A公司20X2年年报显示，其于20X2年6月收到地方政府部门下发的《关于追回违规领取可再生能源电价附加补助资金的通知》，A公司部分电站存在未纳入规模管理、备案文件失效等问题，前期申请领取的补贴违反当时的可再生能源电价附加补助政策，系违规领取，需要退回已申领的补贴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问题：A公司退回违规补贴资金是否属于会计差错更正?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2．参考意见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根据企业会计准则及相关规定，前期差错是指由于没有运用或错误运用前期报表编制时或批准报出时能够取得的可靠信息，而对前期财务报表造成省略或错报。前期差错通常包括计算错误、应用会计政策错误、疏忽或曲解事实以及舞弊产生的影响以及存货、固定资产盘盈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因此，判断是否属于会计差错更正，主要取决于A公司在前期财务报表编制时或批准报出时，是否能够取得可靠信息对相关电站领取发电补贴的合法合规性进行合理判断。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highlight w:val="none"/>
          <w:lang w:eastAsia="zh-CN"/>
        </w:rPr>
        <w:t>根据公司年报，</w:t>
      </w:r>
      <w:r>
        <w:rPr>
          <w:rFonts w:hint="eastAsia" w:ascii="仿宋" w:hAnsi="仿宋" w:eastAsia="仿宋" w:cs="仿宋"/>
          <w:sz w:val="32"/>
          <w:highlight w:val="none"/>
          <w:lang w:val="en-US" w:eastAsia="zh-CN"/>
        </w:rPr>
        <w:t>A公司前期领取的发电补贴违反当时的补助政策，属于违规领取。公司在编制财务报表时，可能由于自身疏忽或曲解事实导致没有正确运用当时能够取得的可靠信息</w:t>
      </w:r>
      <w:r>
        <w:rPr>
          <w:rFonts w:hint="eastAsia" w:ascii="仿宋" w:hAnsi="仿宋" w:eastAsia="仿宋" w:cs="仿宋"/>
          <w:sz w:val="32"/>
          <w:highlight w:val="none"/>
          <w:lang w:eastAsia="zh-CN"/>
        </w:rPr>
        <w:t>，属于前期差错，在退回补贴时，应当适用前期差错更正的会计处理方法。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3．相关规则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（1）《企业会计准则第28号——会计政策、会计估计变更和差错更正（2006年）》</w:t>
      </w:r>
    </w:p>
    <w:p>
      <w:pPr>
        <w:spacing w:line="560" w:lineRule="exact"/>
        <w:ind w:firstLine="640" w:firstLineChars="200"/>
        <w:rPr>
          <w:rFonts w:hint="eastAsia" w:ascii="仿宋" w:hAnsi="仿宋" w:eastAsia="仿宋" w:cs="仿宋"/>
          <w:sz w:val="32"/>
          <w:highlight w:val="none"/>
        </w:rPr>
      </w:pPr>
      <w:r>
        <w:rPr>
          <w:rFonts w:hint="eastAsia" w:ascii="仿宋" w:hAnsi="仿宋" w:eastAsia="仿宋" w:cs="仿宋"/>
          <w:sz w:val="32"/>
          <w:highlight w:val="none"/>
        </w:rPr>
        <w:t>第十一条</w:t>
      </w:r>
      <w:r>
        <w:rPr>
          <w:rFonts w:hint="eastAsia" w:ascii="仿宋" w:hAnsi="仿宋" w:eastAsia="仿宋" w:cs="仿宋"/>
          <w:sz w:val="32"/>
          <w:highlight w:val="none"/>
          <w:lang w:val="en-US" w:eastAsia="zh-CN"/>
        </w:rPr>
        <w:t xml:space="preserve">  </w:t>
      </w:r>
      <w:r>
        <w:rPr>
          <w:rFonts w:hint="eastAsia" w:ascii="仿宋" w:hAnsi="仿宋" w:eastAsia="仿宋" w:cs="仿宋"/>
          <w:sz w:val="32"/>
          <w:highlight w:val="none"/>
        </w:rPr>
        <w:t>前期差错，是指由于没有运用或错误运用下列两种信息，而对前期财务报表造成省略或错报。</w:t>
      </w:r>
    </w:p>
    <w:p>
      <w:pPr>
        <w:spacing w:line="560" w:lineRule="exact"/>
        <w:ind w:firstLine="640" w:firstLineChars="200"/>
        <w:rPr>
          <w:rFonts w:hint="eastAsia" w:ascii="仿宋" w:hAnsi="仿宋" w:eastAsia="仿宋" w:cs="仿宋"/>
          <w:sz w:val="32"/>
          <w:highlight w:val="none"/>
        </w:rPr>
      </w:pPr>
      <w:r>
        <w:rPr>
          <w:rFonts w:hint="eastAsia" w:ascii="仿宋" w:hAnsi="仿宋" w:eastAsia="仿宋" w:cs="仿宋"/>
          <w:sz w:val="32"/>
          <w:highlight w:val="none"/>
        </w:rPr>
        <w:t>（一）编报前期财务报表时预期能够取得并加以考虑的可靠信息。</w:t>
      </w:r>
    </w:p>
    <w:p>
      <w:pPr>
        <w:spacing w:line="560" w:lineRule="exact"/>
        <w:ind w:firstLine="640" w:firstLineChars="200"/>
        <w:rPr>
          <w:rFonts w:hint="eastAsia" w:ascii="仿宋" w:hAnsi="仿宋" w:eastAsia="仿宋" w:cs="仿宋"/>
          <w:sz w:val="32"/>
          <w:highlight w:val="none"/>
        </w:rPr>
      </w:pPr>
      <w:r>
        <w:rPr>
          <w:rFonts w:hint="eastAsia" w:ascii="仿宋" w:hAnsi="仿宋" w:eastAsia="仿宋" w:cs="仿宋"/>
          <w:sz w:val="32"/>
          <w:highlight w:val="none"/>
        </w:rPr>
        <w:t>（二）前期财务报告批准报出时能够取得的可靠信息。</w:t>
      </w:r>
    </w:p>
    <w:p>
      <w:pPr>
        <w:spacing w:line="560" w:lineRule="exact"/>
        <w:ind w:firstLine="640" w:firstLineChars="200"/>
        <w:rPr>
          <w:rFonts w:hint="eastAsia" w:ascii="仿宋" w:hAnsi="仿宋" w:eastAsia="仿宋" w:cs="仿宋"/>
          <w:sz w:val="32"/>
          <w:highlight w:val="none"/>
        </w:rPr>
      </w:pPr>
      <w:r>
        <w:rPr>
          <w:rFonts w:hint="eastAsia" w:ascii="仿宋" w:hAnsi="仿宋" w:eastAsia="仿宋" w:cs="仿宋"/>
          <w:sz w:val="32"/>
          <w:highlight w:val="none"/>
        </w:rPr>
        <w:t>前期差错通常包括计算错误、应用会计政策错误、疏忽或曲解事实以及舞弊产生的影响以及存货、固定资产盘盈等。</w:t>
      </w:r>
    </w:p>
    <w:p>
      <w:pPr>
        <w:spacing w:line="560" w:lineRule="exact"/>
        <w:ind w:firstLine="640" w:firstLineChars="200"/>
        <w:rPr>
          <w:rFonts w:hint="eastAsia" w:ascii="仿宋" w:hAnsi="仿宋" w:eastAsia="仿宋" w:cs="仿宋"/>
          <w:sz w:val="32"/>
          <w:highlight w:val="none"/>
        </w:rPr>
      </w:pPr>
      <w:r>
        <w:rPr>
          <w:rFonts w:hint="eastAsia" w:ascii="仿宋" w:hAnsi="仿宋" w:eastAsia="仿宋" w:cs="仿宋"/>
          <w:sz w:val="32"/>
          <w:highlight w:val="none"/>
        </w:rPr>
        <w:t>第十二条</w:t>
      </w:r>
      <w:r>
        <w:rPr>
          <w:rFonts w:hint="eastAsia" w:ascii="仿宋" w:hAnsi="仿宋" w:eastAsia="仿宋" w:cs="仿宋"/>
          <w:sz w:val="32"/>
          <w:highlight w:val="none"/>
          <w:lang w:val="en-US" w:eastAsia="zh-CN"/>
        </w:rPr>
        <w:t xml:space="preserve">  </w:t>
      </w:r>
      <w:r>
        <w:rPr>
          <w:rFonts w:hint="eastAsia" w:ascii="仿宋" w:hAnsi="仿宋" w:eastAsia="仿宋" w:cs="仿宋"/>
          <w:sz w:val="32"/>
          <w:highlight w:val="none"/>
        </w:rPr>
        <w:t>企业应当采用追溯重述法更正重要的前期差错，但确定前期差错累积影响数不切实可行的除外。</w:t>
      </w:r>
    </w:p>
    <w:p>
      <w:pPr>
        <w:spacing w:line="560" w:lineRule="exact"/>
        <w:ind w:firstLine="640" w:firstLineChars="200"/>
        <w:rPr>
          <w:rFonts w:hint="eastAsia" w:ascii="仿宋" w:hAnsi="仿宋" w:eastAsia="仿宋" w:cs="仿宋"/>
          <w:sz w:val="32"/>
          <w:highlight w:val="none"/>
        </w:rPr>
      </w:pPr>
      <w:r>
        <w:rPr>
          <w:rFonts w:hint="eastAsia" w:ascii="仿宋" w:hAnsi="仿宋" w:eastAsia="仿宋" w:cs="仿宋"/>
          <w:sz w:val="32"/>
          <w:highlight w:val="none"/>
        </w:rPr>
        <w:t>追溯重述法，是指在发现前期差错时，视同该项前期差错从未发生过，从而对财务报表相关项目进行更正的方法。</w:t>
      </w:r>
    </w:p>
    <w:p>
      <w:pPr>
        <w:spacing w:line="560" w:lineRule="exact"/>
        <w:ind w:firstLine="640" w:firstLineChars="200"/>
        <w:rPr>
          <w:rFonts w:hint="eastAsia" w:ascii="仿宋" w:hAnsi="仿宋" w:eastAsia="仿宋" w:cs="仿宋"/>
          <w:sz w:val="32"/>
          <w:highlight w:val="none"/>
          <w:lang w:eastAsia="zh-CN"/>
        </w:rPr>
      </w:pPr>
      <w:r>
        <w:rPr>
          <w:rFonts w:hint="eastAsia" w:ascii="仿宋" w:hAnsi="仿宋" w:eastAsia="仿宋" w:cs="仿宋"/>
          <w:sz w:val="32"/>
          <w:highlight w:val="none"/>
          <w:lang w:eastAsia="zh-CN"/>
        </w:rPr>
        <w:t>（</w:t>
      </w:r>
      <w:r>
        <w:rPr>
          <w:rFonts w:hint="eastAsia" w:ascii="仿宋" w:hAnsi="仿宋" w:eastAsia="仿宋" w:cs="仿宋"/>
          <w:sz w:val="32"/>
          <w:highlight w:val="none"/>
          <w:lang w:val="en-US" w:eastAsia="zh-CN"/>
        </w:rPr>
        <w:t>2</w:t>
      </w:r>
      <w:r>
        <w:rPr>
          <w:rFonts w:hint="eastAsia" w:ascii="仿宋" w:hAnsi="仿宋" w:eastAsia="仿宋" w:cs="仿宋"/>
          <w:sz w:val="32"/>
          <w:highlight w:val="none"/>
          <w:lang w:eastAsia="zh-CN"/>
        </w:rPr>
        <w:t>）《监管规则适用指引——会计类第1号》</w:t>
      </w:r>
    </w:p>
    <w:p>
      <w:pPr>
        <w:spacing w:line="560" w:lineRule="exact"/>
        <w:ind w:firstLine="640" w:firstLineChars="200"/>
        <w:rPr>
          <w:rFonts w:hint="eastAsia" w:ascii="仿宋" w:hAnsi="仿宋" w:eastAsia="仿宋" w:cs="仿宋"/>
          <w:sz w:val="32"/>
          <w:highlight w:val="none"/>
          <w:lang w:eastAsia="zh-CN"/>
        </w:rPr>
      </w:pPr>
      <w:r>
        <w:rPr>
          <w:rFonts w:hint="eastAsia" w:ascii="仿宋" w:hAnsi="仿宋" w:eastAsia="仿宋" w:cs="仿宋"/>
          <w:sz w:val="32"/>
          <w:highlight w:val="none"/>
          <w:lang w:eastAsia="zh-CN"/>
        </w:rPr>
        <w:t>1-24 区分会计估计变更和差错更正</w:t>
      </w:r>
    </w:p>
    <w:p>
      <w:pPr>
        <w:spacing w:line="560" w:lineRule="exact"/>
        <w:ind w:firstLine="640" w:firstLineChars="200"/>
        <w:rPr>
          <w:rFonts w:hint="eastAsia" w:ascii="仿宋" w:hAnsi="仿宋" w:eastAsia="仿宋" w:cs="仿宋"/>
          <w:sz w:val="32"/>
          <w:highlight w:val="none"/>
          <w:lang w:eastAsia="zh-CN"/>
        </w:rPr>
      </w:pPr>
      <w:r>
        <w:rPr>
          <w:rFonts w:hint="eastAsia" w:ascii="仿宋" w:hAnsi="仿宋" w:eastAsia="仿宋" w:cs="仿宋"/>
          <w:sz w:val="32"/>
          <w:highlight w:val="none"/>
          <w:lang w:eastAsia="zh-CN"/>
        </w:rPr>
        <w:t>企业在对财务报表项目进行计量时，往往需要进行会计估计，该估计应当以最近可以获得的可靠信息为基础。随着时间的推移，如果会计估计的基础发生变化，或者企业取得了新的信息、积累了更多的经验，导致需要对前期会计估计进行变更，属于会计估计变更。企业在进行会计估计时，如果没有恰当运用当时能够取得的可靠信息，则属于前期差错。会计估计变更应当采用未来适用法进行会计处理，而前期差错更正通常应当采用追溯重述法进行会计处理。</w:t>
      </w:r>
    </w:p>
    <w:p>
      <w:pPr>
        <w:spacing w:line="560" w:lineRule="exact"/>
        <w:ind w:firstLine="640" w:firstLineChars="200"/>
        <w:rPr>
          <w:rFonts w:hint="eastAsia" w:ascii="仿宋" w:hAnsi="仿宋" w:eastAsia="仿宋" w:cs="仿宋"/>
          <w:sz w:val="32"/>
          <w:highlight w:val="none"/>
          <w:lang w:eastAsia="zh-CN"/>
        </w:rPr>
      </w:pPr>
      <w:r>
        <w:rPr>
          <w:rFonts w:hint="eastAsia" w:ascii="仿宋" w:hAnsi="仿宋" w:eastAsia="仿宋" w:cs="仿宋"/>
          <w:sz w:val="32"/>
          <w:highlight w:val="none"/>
          <w:lang w:eastAsia="zh-CN"/>
        </w:rPr>
        <w:t>监管实践发现，会计估计变更与前期差错更正有时难以区分，尤其是难以区分会计估计变更和由于会计估计错误导致的前期差错更正。现就具体事项如何适用上述原则的意见如下：</w:t>
      </w:r>
    </w:p>
    <w:p>
      <w:pPr>
        <w:spacing w:line="560" w:lineRule="exact"/>
        <w:ind w:firstLine="640" w:firstLineChars="200"/>
        <w:rPr>
          <w:rFonts w:hint="eastAsia" w:ascii="仿宋" w:hAnsi="仿宋" w:eastAsia="仿宋" w:cs="仿宋"/>
          <w:sz w:val="32"/>
          <w:highlight w:val="none"/>
          <w:lang w:eastAsia="zh-CN"/>
        </w:rPr>
      </w:pPr>
      <w:r>
        <w:rPr>
          <w:rFonts w:hint="eastAsia" w:ascii="仿宋" w:hAnsi="仿宋" w:eastAsia="仿宋" w:cs="仿宋"/>
          <w:sz w:val="32"/>
          <w:highlight w:val="none"/>
          <w:lang w:eastAsia="zh-CN"/>
        </w:rPr>
        <w:t>企业不应简单将会计估计与实际结果对比认定存在差错。如果企业前期作出会计估计时，未能合理使用报表编报时已经存在且能够取得的可靠信息，导致前期会计估计结果未恰当反映当时情况，则应属于前期差错，应当适用前期差错更正的会计处理方法；反之，如果企业前期的会计估计是以当时存在且预期能够取得的可靠信息为基础作出的，随后因资产和负债的当前状况及预期经济利益和义务发生了变化而变更会计估计的，则属于会计估计变更，应当适用会计估计变更的会计处理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案例二：合同造价金额调整是否属于会计差错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1．案例及相关问题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B公司从事房地产开发业务。20X5年，B公司与某住宅项目总包方签订《建设工程施工合同》，约定总包合同价款为5亿元。项目建设过程中，总包方根据合同约定的付款时间节点报送产值表，A公司审核后完成付款。20X7年年底，住宅项目办理竣工备案并开始预售，20X8年，B公司聘请审价机构开展竣工结算审价，竣工结算价格以B公司、总包方和审价机构共同确认的竣工结算价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截至20X7年末，累计确认总包工程总成本已达到5亿元。20X8年，因发现存在配套增加及招标外施工，总包成本增加至6亿元。20X9年3月，审价机构提交总价为7亿元的竣工结算书初稿，B公司管理层不认可这一审定价格，认为最终结算价尚有谈判空间，因此20X8年度以6亿元总包成本为基础，根据当年销售面积确认当年应结转成本。20X9年4月25日，B公司董事会批准报出20X8年年度财务报告。20X9年10月，审价机构提交总价为6.98亿元的竣工结算书，B公司、总包方和审价机构三方对此予以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问题：20X8年度B公司未根据最新获得的审定价格结转营业成本，是否属于会计差错?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2．参考意见</w:t>
      </w:r>
    </w:p>
    <w:p>
      <w:pPr>
        <w:spacing w:line="560" w:lineRule="exact"/>
        <w:ind w:firstLine="640" w:firstLineChars="200"/>
        <w:rPr>
          <w:rFonts w:hint="eastAsia" w:ascii="仿宋" w:hAnsi="仿宋" w:eastAsia="仿宋"/>
          <w:sz w:val="32"/>
          <w:highlight w:val="none"/>
          <w:lang w:eastAsia="zh-CN"/>
        </w:rPr>
      </w:pPr>
      <w:r>
        <w:rPr>
          <w:rFonts w:hint="eastAsia" w:ascii="仿宋" w:hAnsi="仿宋" w:eastAsia="仿宋"/>
          <w:sz w:val="32"/>
          <w:highlight w:val="none"/>
          <w:lang w:eastAsia="zh-CN"/>
        </w:rPr>
        <w:t>根据企业会计准则及相关规定，资产负债表日至财务报告批准报出日之间发生的有利或不利事项为资产负债表日后事项。其中，对资产负债表日已经存在的情况提供了新的或进一步证据的事项属于资产负债表日后调整事项，例如，资产负债表日后进一步确定了资产负债表日前购入资产的成本或售出资产的收入。企业发生的资产负债表日后调整事项，应当调整资产负债表日的财务报表。</w:t>
      </w:r>
    </w:p>
    <w:p>
      <w:pPr>
        <w:spacing w:line="560" w:lineRule="exact"/>
        <w:ind w:firstLine="640" w:firstLineChars="200"/>
        <w:rPr>
          <w:rFonts w:hint="eastAsia" w:ascii="仿宋" w:hAnsi="仿宋" w:eastAsia="仿宋"/>
          <w:sz w:val="32"/>
          <w:highlight w:val="none"/>
          <w:lang w:val="en-US" w:eastAsia="zh-CN"/>
        </w:rPr>
      </w:pPr>
      <w:r>
        <w:rPr>
          <w:rFonts w:hint="eastAsia" w:ascii="仿宋" w:hAnsi="仿宋" w:eastAsia="仿宋"/>
          <w:sz w:val="32"/>
          <w:highlight w:val="none"/>
          <w:lang w:eastAsia="zh-CN"/>
        </w:rPr>
        <w:t>本案例中，</w:t>
      </w:r>
      <w:r>
        <w:rPr>
          <w:rFonts w:hint="eastAsia" w:ascii="仿宋" w:hAnsi="仿宋" w:eastAsia="仿宋"/>
          <w:sz w:val="32"/>
          <w:highlight w:val="none"/>
          <w:lang w:val="en-US" w:eastAsia="zh-CN"/>
        </w:rPr>
        <w:t>20X8年度资产负债表日之前，总包成本增加至6亿元。资产负债表日至财务报告批准报出日前，审价机构提交的竣工结算书初稿显示总包成本为7亿元，显著高于资产负债表日前估计的总包成本，该事项为截至资产负债表日已经发生的总包成本提供了新的证据，系资产负债表日后调整事项，公司在估计总包成本并结转当期营业成本时应当予以考虑。</w:t>
      </w:r>
    </w:p>
    <w:p>
      <w:pPr>
        <w:spacing w:line="560" w:lineRule="exact"/>
        <w:ind w:firstLine="640" w:firstLineChars="200"/>
        <w:rPr>
          <w:rFonts w:hint="eastAsia" w:ascii="仿宋" w:hAnsi="仿宋" w:eastAsia="仿宋"/>
          <w:sz w:val="32"/>
          <w:highlight w:val="none"/>
          <w:lang w:val="en-US" w:eastAsia="zh-CN"/>
        </w:rPr>
      </w:pPr>
      <w:r>
        <w:rPr>
          <w:rFonts w:hint="eastAsia" w:ascii="仿宋" w:hAnsi="仿宋" w:eastAsia="仿宋"/>
          <w:sz w:val="32"/>
          <w:highlight w:val="none"/>
          <w:lang w:val="en-US" w:eastAsia="zh-CN"/>
        </w:rPr>
        <w:t>公司管理层因不认可审定价格、认为最终结算价尚有谈判空间而未调整总包成本。最终结果显示，初步审定价格（7亿元）与最终三方确认的结算价（6.98亿元）相差不大，而公司使用的总包成本与三方确定价格相差较大。公司应当充分说明不认可审定价格、认为最终结算价尚有谈判空间的合理性。如无可靠依据，则说明20X9年3月审价机构提交的初步意见可以作为20X8年报估计总包成本时的最佳估计数予以恰当考虑。若公司没有充分依据说明当时未予以恰当考虑的合理原因，则表明公司可能没有恰当运用财务报告批准报出日前能够取得的可靠信息，20X8年度财务报表存在会计差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3．相关规则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（1）《企业会计准则第29号——资产负债表日后事项（2006年）》</w:t>
      </w:r>
    </w:p>
    <w:p>
      <w:pPr>
        <w:spacing w:line="560" w:lineRule="exact"/>
        <w:ind w:firstLine="640" w:firstLineChars="200"/>
        <w:rPr>
          <w:rFonts w:hint="default" w:ascii="仿宋" w:hAnsi="仿宋" w:eastAsia="仿宋"/>
          <w:sz w:val="32"/>
          <w:highlight w:val="none"/>
          <w:lang w:val="en-US" w:eastAsia="zh-CN"/>
        </w:rPr>
      </w:pPr>
      <w:r>
        <w:rPr>
          <w:rFonts w:hint="default" w:ascii="仿宋" w:hAnsi="仿宋" w:eastAsia="仿宋"/>
          <w:sz w:val="32"/>
          <w:highlight w:val="none"/>
          <w:lang w:val="en-US" w:eastAsia="zh-CN"/>
        </w:rPr>
        <w:t>第二条</w:t>
      </w:r>
      <w:r>
        <w:rPr>
          <w:rFonts w:hint="eastAsia" w:ascii="仿宋" w:hAnsi="仿宋" w:eastAsia="仿宋"/>
          <w:sz w:val="32"/>
          <w:highlight w:val="none"/>
          <w:lang w:val="en-US" w:eastAsia="zh-CN"/>
        </w:rPr>
        <w:t xml:space="preserve">  </w:t>
      </w:r>
      <w:r>
        <w:rPr>
          <w:rFonts w:hint="default" w:ascii="仿宋" w:hAnsi="仿宋" w:eastAsia="仿宋"/>
          <w:sz w:val="32"/>
          <w:highlight w:val="none"/>
          <w:lang w:val="en-US" w:eastAsia="zh-CN"/>
        </w:rPr>
        <w:t>资产负债表日后事项，是指资产负债表日至财务报告批准报出日之间发生的有利或不利事项。财务报告批准报出日，是指董事会或类似机构批准财务报告报出的日期。</w:t>
      </w:r>
    </w:p>
    <w:p>
      <w:pPr>
        <w:spacing w:line="560" w:lineRule="exact"/>
        <w:ind w:firstLine="640" w:firstLineChars="200"/>
        <w:rPr>
          <w:rFonts w:hint="default" w:ascii="仿宋" w:hAnsi="仿宋" w:eastAsia="仿宋"/>
          <w:sz w:val="32"/>
          <w:highlight w:val="none"/>
          <w:lang w:val="en-US" w:eastAsia="zh-CN"/>
        </w:rPr>
      </w:pPr>
      <w:r>
        <w:rPr>
          <w:rFonts w:hint="default" w:ascii="仿宋" w:hAnsi="仿宋" w:eastAsia="仿宋"/>
          <w:sz w:val="32"/>
          <w:highlight w:val="none"/>
          <w:lang w:val="en-US" w:eastAsia="zh-CN"/>
        </w:rPr>
        <w:t>资产负债表日后调整事项，是指对资产负债表日已经存在的情况提供了新的或进一步证据的事项。</w:t>
      </w:r>
    </w:p>
    <w:p>
      <w:pPr>
        <w:spacing w:line="560" w:lineRule="exact"/>
        <w:ind w:firstLine="640" w:firstLineChars="200"/>
        <w:rPr>
          <w:rFonts w:hint="default" w:ascii="仿宋" w:hAnsi="仿宋" w:eastAsia="仿宋"/>
          <w:sz w:val="32"/>
          <w:highlight w:val="none"/>
          <w:lang w:val="en-US" w:eastAsia="zh-CN"/>
        </w:rPr>
      </w:pPr>
      <w:r>
        <w:rPr>
          <w:rFonts w:hint="default" w:ascii="仿宋" w:hAnsi="仿宋" w:eastAsia="仿宋"/>
          <w:sz w:val="32"/>
          <w:highlight w:val="none"/>
          <w:lang w:val="en-US" w:eastAsia="zh-CN"/>
        </w:rPr>
        <w:t>第四条</w:t>
      </w:r>
      <w:r>
        <w:rPr>
          <w:rFonts w:hint="eastAsia" w:ascii="仿宋" w:hAnsi="仿宋" w:eastAsia="仿宋"/>
          <w:sz w:val="32"/>
          <w:highlight w:val="none"/>
          <w:lang w:val="en-US" w:eastAsia="zh-CN"/>
        </w:rPr>
        <w:t xml:space="preserve">  </w:t>
      </w:r>
      <w:r>
        <w:rPr>
          <w:rFonts w:hint="default" w:ascii="仿宋" w:hAnsi="仿宋" w:eastAsia="仿宋"/>
          <w:sz w:val="32"/>
          <w:highlight w:val="none"/>
          <w:lang w:val="en-US" w:eastAsia="zh-CN"/>
        </w:rPr>
        <w:t>企业发生的资产负债表日后调整事项，应当调整资产负债表日的财务报表。</w:t>
      </w:r>
    </w:p>
    <w:p>
      <w:pPr>
        <w:spacing w:line="560" w:lineRule="exact"/>
        <w:ind w:firstLine="640" w:firstLineChars="200"/>
        <w:rPr>
          <w:rFonts w:hint="default" w:ascii="仿宋" w:hAnsi="仿宋" w:eastAsia="仿宋"/>
          <w:sz w:val="32"/>
          <w:highlight w:val="none"/>
          <w:lang w:val="en-US" w:eastAsia="zh-CN"/>
        </w:rPr>
      </w:pPr>
      <w:r>
        <w:rPr>
          <w:rFonts w:hint="default" w:ascii="仿宋" w:hAnsi="仿宋" w:eastAsia="仿宋"/>
          <w:sz w:val="32"/>
          <w:highlight w:val="none"/>
          <w:lang w:val="en-US" w:eastAsia="zh-CN"/>
        </w:rPr>
        <w:t>第五条</w:t>
      </w:r>
      <w:r>
        <w:rPr>
          <w:rFonts w:hint="eastAsia" w:ascii="仿宋" w:hAnsi="仿宋" w:eastAsia="仿宋"/>
          <w:sz w:val="32"/>
          <w:highlight w:val="none"/>
          <w:lang w:val="en-US" w:eastAsia="zh-CN"/>
        </w:rPr>
        <w:t xml:space="preserve">  </w:t>
      </w:r>
      <w:r>
        <w:rPr>
          <w:rFonts w:hint="default" w:ascii="仿宋" w:hAnsi="仿宋" w:eastAsia="仿宋"/>
          <w:sz w:val="32"/>
          <w:highlight w:val="none"/>
          <w:lang w:val="en-US" w:eastAsia="zh-CN"/>
        </w:rPr>
        <w:t>企业发生的资产负债表日后调整事项，通常包括下列各项：</w:t>
      </w:r>
    </w:p>
    <w:p>
      <w:pPr>
        <w:spacing w:line="560" w:lineRule="exact"/>
        <w:ind w:firstLine="640" w:firstLineChars="200"/>
        <w:rPr>
          <w:rFonts w:hint="default" w:ascii="仿宋" w:hAnsi="仿宋" w:eastAsia="仿宋"/>
          <w:sz w:val="32"/>
          <w:highlight w:val="none"/>
          <w:lang w:val="en-US" w:eastAsia="zh-CN"/>
        </w:rPr>
      </w:pPr>
      <w:r>
        <w:rPr>
          <w:rFonts w:hint="default" w:ascii="仿宋" w:hAnsi="仿宋" w:eastAsia="仿宋"/>
          <w:sz w:val="32"/>
          <w:highlight w:val="none"/>
          <w:lang w:val="en-US" w:eastAsia="zh-CN"/>
        </w:rPr>
        <w:t>（一）资产负债表日后诉讼案件结案，法院判决证实了企业在资产负债表日已经存在现时义务，需要调整原先确认的与该诉讼案件相关的预计负债，或确认一项新负债。</w:t>
      </w:r>
    </w:p>
    <w:p>
      <w:pPr>
        <w:spacing w:line="560" w:lineRule="exact"/>
        <w:ind w:firstLine="640" w:firstLineChars="200"/>
        <w:rPr>
          <w:rFonts w:hint="default" w:ascii="仿宋" w:hAnsi="仿宋" w:eastAsia="仿宋"/>
          <w:sz w:val="32"/>
          <w:highlight w:val="none"/>
          <w:lang w:val="en-US" w:eastAsia="zh-CN"/>
        </w:rPr>
      </w:pPr>
      <w:r>
        <w:rPr>
          <w:rFonts w:hint="default" w:ascii="仿宋" w:hAnsi="仿宋" w:eastAsia="仿宋"/>
          <w:sz w:val="32"/>
          <w:highlight w:val="none"/>
          <w:lang w:val="en-US" w:eastAsia="zh-CN"/>
        </w:rPr>
        <w:t>（二）资产负债表日后取得确凿证据，表明某项资产在资产负债表日发生了减值或者需要调整该项资产原先确认的减值金额。</w:t>
      </w:r>
    </w:p>
    <w:p>
      <w:pPr>
        <w:spacing w:line="560" w:lineRule="exact"/>
        <w:ind w:firstLine="640" w:firstLineChars="200"/>
        <w:rPr>
          <w:rFonts w:hint="default" w:ascii="仿宋" w:hAnsi="仿宋" w:eastAsia="仿宋"/>
          <w:sz w:val="32"/>
          <w:highlight w:val="none"/>
          <w:lang w:val="en-US" w:eastAsia="zh-CN"/>
        </w:rPr>
      </w:pPr>
      <w:r>
        <w:rPr>
          <w:rFonts w:hint="default" w:ascii="仿宋" w:hAnsi="仿宋" w:eastAsia="仿宋"/>
          <w:sz w:val="32"/>
          <w:highlight w:val="none"/>
          <w:lang w:val="en-US" w:eastAsia="zh-CN"/>
        </w:rPr>
        <w:t>（三）资产负债表日后进一步确定了资产负债表日前购入资产的成本或售出资产的收入。</w:t>
      </w:r>
    </w:p>
    <w:p>
      <w:pPr>
        <w:spacing w:line="560" w:lineRule="exact"/>
        <w:ind w:firstLine="640" w:firstLineChars="200"/>
        <w:rPr>
          <w:rFonts w:hint="default" w:ascii="仿宋" w:hAnsi="仿宋" w:eastAsia="仿宋"/>
          <w:sz w:val="32"/>
          <w:highlight w:val="none"/>
          <w:lang w:val="en-US" w:eastAsia="zh-CN"/>
        </w:rPr>
      </w:pPr>
      <w:r>
        <w:rPr>
          <w:rFonts w:hint="default" w:ascii="仿宋" w:hAnsi="仿宋" w:eastAsia="仿宋"/>
          <w:sz w:val="32"/>
          <w:highlight w:val="none"/>
          <w:lang w:val="en-US" w:eastAsia="zh-CN"/>
        </w:rPr>
        <w:t>（四）资产负债表日后发现了财务报表舞弊或差错。</w:t>
      </w:r>
    </w:p>
    <w:p>
      <w:pPr>
        <w:spacing w:line="560" w:lineRule="exact"/>
        <w:ind w:firstLine="640" w:firstLineChars="200"/>
        <w:rPr>
          <w:rFonts w:hint="eastAsia" w:ascii="仿宋" w:hAnsi="仿宋" w:eastAsia="仿宋"/>
          <w:sz w:val="32"/>
          <w:highlight w:val="none"/>
          <w:lang w:val="en-US" w:eastAsia="zh-CN"/>
        </w:rPr>
      </w:pPr>
      <w:r>
        <w:rPr>
          <w:rFonts w:hint="eastAsia" w:ascii="仿宋" w:hAnsi="仿宋" w:eastAsia="仿宋"/>
          <w:sz w:val="32"/>
          <w:highlight w:val="none"/>
          <w:lang w:val="en-US" w:eastAsia="zh-CN"/>
        </w:rPr>
        <w:t>（2）同案例一规则</w:t>
      </w:r>
    </w:p>
    <w:p>
      <w:pPr>
        <w:pStyle w:val="2"/>
        <w:rPr>
          <w:rFonts w:hint="default"/>
          <w:lang w:val="en-US" w:eastAsia="zh-CN"/>
        </w:rPr>
      </w:pPr>
    </w:p>
    <w:p>
      <w:pPr>
        <w:keepNext w:val="0"/>
        <w:keepLines w:val="0"/>
        <w:pageBreakBefore w:val="0"/>
        <w:kinsoku/>
        <w:wordWrap/>
        <w:overflowPunct/>
        <w:topLinePunct/>
        <w:bidi w:val="0"/>
        <w:adjustRightInd w:val="0"/>
        <w:snapToGrid w:val="0"/>
        <w:spacing w:line="560" w:lineRule="exact"/>
        <w:ind w:left="0" w:right="0" w:rightChars="0" w:firstLine="640" w:firstLineChars="200"/>
        <w:outlineLvl w:val="1"/>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eastAsia="zh-CN"/>
        </w:rPr>
        <w:t>二</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关于会计政策变更</w:t>
      </w:r>
      <w:r>
        <w:rPr>
          <w:rFonts w:hint="eastAsia" w:ascii="楷体" w:hAnsi="楷体" w:eastAsia="楷体" w:cs="Times New Roman"/>
          <w:color w:val="000000"/>
          <w:sz w:val="32"/>
          <w:szCs w:val="32"/>
          <w:highlight w:val="none"/>
        </w:rPr>
        <w:t>的相关问题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案例三：出售生产性生物资产的会计处理方式变化是否为会计政策变更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1．案例及相关问题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C公司从事生猪养殖业务，将种猪认定为生产性生物资产，种猪超过一定使用年限后可以转为肉猪对外出售，业务模式未发生变化。20X3年以前，公司将出售种猪视同处置资产进行会计处理，即将生产性生物资产淘汰处置收入扣除其账面价值和相关税费后的余额计入资产处置收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X4年3月，C公司董事会审议通过《关于会计政策变更的议案》。考虑到种猪淘汰较为频繁，构成日常经营活动的组成部分，为了使生产性生物资产淘汰确认更符合公司经营情况，公允反映业务实质，公司对生产性生物资产的淘汰成本账务处理进行会计政策变更，将生产性生物资产淘汰销售收入计入主营业务收入，淘汰时生产性生物资产的账面价值计入主营业务成本。公司自20X3年1月1日起执行变更后的会计政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问题：种猪淘汰的会计处理方式属于会计政策还是会计估计？C公司变更相关会计处理方法是否属于会计政策变更?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2．参考意见</w:t>
      </w:r>
    </w:p>
    <w:p>
      <w:pPr>
        <w:spacing w:line="560" w:lineRule="exact"/>
        <w:ind w:firstLine="640" w:firstLineChars="200"/>
        <w:rPr>
          <w:rFonts w:hint="default" w:ascii="仿宋" w:hAnsi="仿宋" w:eastAsia="仿宋"/>
          <w:sz w:val="32"/>
          <w:highlight w:val="none"/>
          <w:lang w:val="en-US" w:eastAsia="zh-CN"/>
        </w:rPr>
      </w:pPr>
      <w:r>
        <w:rPr>
          <w:rFonts w:hint="default" w:ascii="仿宋" w:hAnsi="仿宋" w:eastAsia="仿宋"/>
          <w:sz w:val="32"/>
          <w:highlight w:val="none"/>
          <w:lang w:val="en-US" w:eastAsia="zh-CN"/>
        </w:rPr>
        <w:t>根据企业会计准则及相关规定，会计政策是指企业在会计确认、计量和报告中所采用的原则、基础和会计处理方法</w:t>
      </w:r>
      <w:r>
        <w:rPr>
          <w:rFonts w:hint="eastAsia" w:ascii="仿宋" w:hAnsi="仿宋" w:eastAsia="仿宋"/>
          <w:sz w:val="32"/>
          <w:highlight w:val="none"/>
          <w:lang w:val="en-US" w:eastAsia="zh-CN"/>
        </w:rPr>
        <w:t>；会计估计是指企业对结果不确定的交易或者事项以最近可利用的信息为基础所作的判断。在单个会计期间，会计政策决定了财务报表列报的会计信息和列报方式，会计估计是用来确定与财务报表所列报的会计信息有关的金额和数值。</w:t>
      </w:r>
    </w:p>
    <w:p>
      <w:pPr>
        <w:spacing w:line="560" w:lineRule="exact"/>
        <w:ind w:firstLine="640" w:firstLineChars="200"/>
        <w:rPr>
          <w:rFonts w:hint="eastAsia" w:ascii="仿宋" w:hAnsi="仿宋" w:eastAsia="仿宋"/>
          <w:sz w:val="32"/>
          <w:highlight w:val="none"/>
          <w:lang w:val="en-US" w:eastAsia="zh-CN"/>
        </w:rPr>
      </w:pPr>
      <w:r>
        <w:rPr>
          <w:rFonts w:hint="eastAsia" w:ascii="仿宋" w:hAnsi="仿宋" w:eastAsia="仿宋"/>
          <w:sz w:val="32"/>
          <w:highlight w:val="none"/>
          <w:lang w:val="en-US" w:eastAsia="zh-CN"/>
        </w:rPr>
        <w:t>本案例中，公司淘汰生产性生物资产的会计处理方法影响相关事项的会计确认，即交易性质为处置资产还是销售商品，影响资产负债表和利润表相关项目的列报，因此，属于会计政策。</w:t>
      </w:r>
    </w:p>
    <w:p>
      <w:pPr>
        <w:spacing w:line="560" w:lineRule="exact"/>
        <w:ind w:firstLine="640" w:firstLineChars="200"/>
        <w:rPr>
          <w:rFonts w:hint="eastAsia" w:ascii="仿宋" w:hAnsi="仿宋" w:eastAsia="仿宋"/>
          <w:sz w:val="32"/>
          <w:highlight w:val="none"/>
          <w:lang w:val="en-US" w:eastAsia="zh-CN"/>
        </w:rPr>
      </w:pPr>
      <w:r>
        <w:rPr>
          <w:rFonts w:hint="eastAsia" w:ascii="仿宋" w:hAnsi="仿宋" w:eastAsia="仿宋"/>
          <w:sz w:val="32"/>
          <w:highlight w:val="none"/>
          <w:lang w:val="en-US" w:eastAsia="zh-CN"/>
        </w:rPr>
        <w:t>虽然上述会计处理方法属于会计政策，相关变更不必然属于会计政策变更。</w:t>
      </w:r>
    </w:p>
    <w:p>
      <w:pPr>
        <w:spacing w:line="560" w:lineRule="exact"/>
        <w:ind w:firstLine="640" w:firstLineChars="200"/>
        <w:rPr>
          <w:rFonts w:hint="eastAsia" w:ascii="仿宋" w:hAnsi="仿宋" w:eastAsia="仿宋"/>
          <w:sz w:val="32"/>
          <w:highlight w:val="none"/>
          <w:lang w:val="en-US" w:eastAsia="zh-CN"/>
        </w:rPr>
      </w:pPr>
      <w:r>
        <w:rPr>
          <w:rFonts w:hint="eastAsia" w:ascii="仿宋" w:hAnsi="仿宋" w:eastAsia="仿宋"/>
          <w:sz w:val="32"/>
          <w:highlight w:val="none"/>
          <w:lang w:val="en-US" w:eastAsia="zh-CN"/>
        </w:rPr>
        <w:t>根据企业会计准则及相关规定，为保证会计信息的可比性，一般情况下，企业采用的会计政策，在每个会计期间和前后各期应当保持一致，不得随意变更。满足以下两个条件之一的，可以变更会计政策：一是法律、行政法规或者国家统一的会计制度等要求变更；二是会计政策变更能够提供更可靠、更相关的会计信息。</w:t>
      </w:r>
    </w:p>
    <w:p>
      <w:pPr>
        <w:spacing w:line="560" w:lineRule="exact"/>
        <w:ind w:firstLine="640" w:firstLineChars="200"/>
        <w:rPr>
          <w:rFonts w:hint="default" w:ascii="仿宋" w:hAnsi="仿宋" w:eastAsia="仿宋"/>
          <w:sz w:val="32"/>
          <w:highlight w:val="none"/>
          <w:lang w:val="en-US" w:eastAsia="zh-CN"/>
        </w:rPr>
      </w:pPr>
      <w:r>
        <w:rPr>
          <w:rFonts w:hint="eastAsia" w:ascii="仿宋" w:hAnsi="仿宋" w:eastAsia="仿宋"/>
          <w:sz w:val="32"/>
          <w:highlight w:val="none"/>
          <w:lang w:val="en-US" w:eastAsia="zh-CN"/>
        </w:rPr>
        <w:t>结合本案例，企业会计准则对生物资产处置的会计处理原则没有发生变化，不符合会计政策变更的第一个条件。关于会计政策变更的第二个条件，根据准则应用指南，通常是由于经济环境、客观情况的改变，使企业原采用的会计政策所提供的会计信息，已不能恰当反映企业的财务状况、经营成果和现金流量等情况。根据案例背景，公司由于</w:t>
      </w:r>
      <w:r>
        <w:rPr>
          <w:rFonts w:hint="eastAsia" w:ascii="仿宋" w:hAnsi="仿宋" w:eastAsia="仿宋" w:cs="仿宋"/>
          <w:sz w:val="32"/>
          <w:szCs w:val="32"/>
          <w:highlight w:val="none"/>
          <w:lang w:val="en-US" w:eastAsia="zh-CN"/>
        </w:rPr>
        <w:t>种猪淘汰较为频繁而变更会计处理方法，未有明显迹象表明该业务所处的经济环境或业务开展的客观情况发生变化。</w:t>
      </w:r>
      <w:r>
        <w:rPr>
          <w:rFonts w:hint="eastAsia" w:ascii="仿宋" w:hAnsi="仿宋" w:eastAsia="仿宋"/>
          <w:sz w:val="32"/>
          <w:highlight w:val="none"/>
          <w:lang w:val="en-US" w:eastAsia="zh-CN"/>
        </w:rPr>
        <w:t>若公司判断满足上述第二个会计政策变更条件，必须有充分、合理的证据表明其变更的合理性，并说明变更会计政策后，能够提供关于企业财务状况、经营成果和现金流量等更可靠、更相关的会计信息的理由。如果公司经营业务情况和外部环境未发生变化，公司在从事相关业务时，即应当合理评估业务活动及实质，运用恰当的会计处理方法。在变更会计处理方法时，审慎判断属于会计政策变更，还是应用会计政策错误导致的前期差错更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3．相关规则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w:t>
      </w:r>
      <w:r>
        <w:rPr>
          <w:rFonts w:hint="eastAsia" w:ascii="仿宋" w:hAnsi="仿宋" w:eastAsia="仿宋"/>
          <w:sz w:val="32"/>
          <w:highlight w:val="none"/>
          <w:lang w:eastAsia="zh-CN"/>
        </w:rPr>
        <w:t>企业会计准则第28号——会计政策、会计估计变更和差错更正</w:t>
      </w:r>
      <w:r>
        <w:rPr>
          <w:rFonts w:hint="eastAsia" w:ascii="仿宋" w:hAnsi="仿宋" w:eastAsia="仿宋" w:cs="仿宋"/>
          <w:sz w:val="32"/>
          <w:szCs w:val="32"/>
          <w:highlight w:val="none"/>
          <w:lang w:val="en-US" w:eastAsia="zh-CN"/>
        </w:rPr>
        <w:t>（2006年）》</w:t>
      </w:r>
    </w:p>
    <w:p>
      <w:pPr>
        <w:spacing w:line="560" w:lineRule="exact"/>
        <w:ind w:firstLine="640" w:firstLineChars="200"/>
        <w:rPr>
          <w:rFonts w:hint="eastAsia" w:ascii="仿宋" w:hAnsi="仿宋" w:eastAsia="仿宋"/>
          <w:sz w:val="32"/>
          <w:highlight w:val="none"/>
          <w:lang w:eastAsia="zh-CN"/>
        </w:rPr>
      </w:pPr>
      <w:r>
        <w:rPr>
          <w:rFonts w:hint="eastAsia" w:ascii="仿宋" w:hAnsi="仿宋" w:eastAsia="仿宋"/>
          <w:sz w:val="32"/>
          <w:highlight w:val="none"/>
          <w:lang w:eastAsia="zh-CN"/>
        </w:rPr>
        <w:t>第三条</w:t>
      </w:r>
      <w:r>
        <w:rPr>
          <w:rFonts w:hint="eastAsia" w:ascii="仿宋" w:hAnsi="仿宋" w:eastAsia="仿宋"/>
          <w:sz w:val="32"/>
          <w:highlight w:val="none"/>
          <w:lang w:val="en-US" w:eastAsia="zh-CN"/>
        </w:rPr>
        <w:t xml:space="preserve">  </w:t>
      </w:r>
      <w:r>
        <w:rPr>
          <w:rFonts w:hint="eastAsia" w:ascii="仿宋" w:hAnsi="仿宋" w:eastAsia="仿宋"/>
          <w:sz w:val="32"/>
          <w:highlight w:val="none"/>
          <w:lang w:eastAsia="zh-CN"/>
        </w:rPr>
        <w:t>企业应当对相同或者相似的交易或者事项采用相同的会计政策进行处理。但是，其他会计准则另有规定的除外。</w:t>
      </w:r>
    </w:p>
    <w:p>
      <w:pPr>
        <w:spacing w:line="560" w:lineRule="exact"/>
        <w:ind w:firstLine="640" w:firstLineChars="200"/>
        <w:rPr>
          <w:rFonts w:hint="eastAsia" w:ascii="仿宋" w:hAnsi="仿宋" w:eastAsia="仿宋"/>
          <w:sz w:val="32"/>
          <w:highlight w:val="none"/>
          <w:lang w:eastAsia="zh-CN"/>
        </w:rPr>
      </w:pPr>
      <w:r>
        <w:rPr>
          <w:rFonts w:hint="eastAsia" w:ascii="仿宋" w:hAnsi="仿宋" w:eastAsia="仿宋"/>
          <w:sz w:val="32"/>
          <w:highlight w:val="none"/>
          <w:lang w:eastAsia="zh-CN"/>
        </w:rPr>
        <w:t>会计政策，是指企业在会计确认、计量和报告中所采用的原则、基础和会计处理方法。</w:t>
      </w:r>
    </w:p>
    <w:p>
      <w:pPr>
        <w:spacing w:line="560" w:lineRule="exact"/>
        <w:ind w:firstLine="640" w:firstLineChars="200"/>
        <w:rPr>
          <w:rFonts w:hint="eastAsia" w:ascii="仿宋" w:hAnsi="仿宋" w:eastAsia="仿宋"/>
          <w:sz w:val="32"/>
          <w:highlight w:val="none"/>
          <w:lang w:eastAsia="zh-CN"/>
        </w:rPr>
      </w:pPr>
      <w:r>
        <w:rPr>
          <w:rFonts w:hint="eastAsia" w:ascii="仿宋" w:hAnsi="仿宋" w:eastAsia="仿宋"/>
          <w:sz w:val="32"/>
          <w:highlight w:val="none"/>
          <w:lang w:eastAsia="zh-CN"/>
        </w:rPr>
        <w:t>第四条</w:t>
      </w:r>
      <w:r>
        <w:rPr>
          <w:rFonts w:hint="eastAsia" w:ascii="仿宋" w:hAnsi="仿宋" w:eastAsia="仿宋"/>
          <w:sz w:val="32"/>
          <w:highlight w:val="none"/>
          <w:lang w:val="en-US" w:eastAsia="zh-CN"/>
        </w:rPr>
        <w:t xml:space="preserve">  </w:t>
      </w:r>
      <w:r>
        <w:rPr>
          <w:rFonts w:hint="eastAsia" w:ascii="仿宋" w:hAnsi="仿宋" w:eastAsia="仿宋"/>
          <w:sz w:val="32"/>
          <w:highlight w:val="none"/>
          <w:lang w:eastAsia="zh-CN"/>
        </w:rPr>
        <w:t>企业采用的会计政策，在每一会计期间和前后各期应当保持一致，不得随意变更。但是，满足下列条件之一的，可以变更会计政策：</w:t>
      </w:r>
    </w:p>
    <w:p>
      <w:pPr>
        <w:spacing w:line="560" w:lineRule="exact"/>
        <w:ind w:firstLine="640" w:firstLineChars="200"/>
        <w:rPr>
          <w:rFonts w:hint="eastAsia" w:ascii="仿宋" w:hAnsi="仿宋" w:eastAsia="仿宋"/>
          <w:sz w:val="32"/>
          <w:highlight w:val="none"/>
          <w:lang w:eastAsia="zh-CN"/>
        </w:rPr>
      </w:pPr>
      <w:r>
        <w:rPr>
          <w:rFonts w:hint="eastAsia" w:ascii="仿宋" w:hAnsi="仿宋" w:eastAsia="仿宋"/>
          <w:sz w:val="32"/>
          <w:highlight w:val="none"/>
          <w:lang w:eastAsia="zh-CN"/>
        </w:rPr>
        <w:t>（一）法律、行政法规或者国家统一的会计制度等要求变更。</w:t>
      </w:r>
    </w:p>
    <w:p>
      <w:pPr>
        <w:spacing w:line="560" w:lineRule="exact"/>
        <w:ind w:firstLine="640" w:firstLineChars="200"/>
        <w:rPr>
          <w:rFonts w:hint="eastAsia" w:ascii="仿宋" w:hAnsi="仿宋" w:eastAsia="仿宋"/>
          <w:sz w:val="32"/>
          <w:highlight w:val="none"/>
          <w:lang w:eastAsia="zh-CN"/>
        </w:rPr>
      </w:pPr>
      <w:r>
        <w:rPr>
          <w:rFonts w:hint="eastAsia" w:ascii="仿宋" w:hAnsi="仿宋" w:eastAsia="仿宋"/>
          <w:sz w:val="32"/>
          <w:highlight w:val="none"/>
          <w:lang w:eastAsia="zh-CN"/>
        </w:rPr>
        <w:t>（二）会计政策变更能够提供更可靠、更相关的会计信息。</w:t>
      </w:r>
    </w:p>
    <w:p>
      <w:pPr>
        <w:spacing w:line="560" w:lineRule="exact"/>
        <w:ind w:firstLine="640" w:firstLineChars="200"/>
        <w:rPr>
          <w:rFonts w:hint="default" w:ascii="仿宋" w:hAnsi="仿宋" w:eastAsia="仿宋"/>
          <w:sz w:val="32"/>
          <w:highlight w:val="none"/>
          <w:lang w:val="en-US" w:eastAsia="zh-CN"/>
        </w:rPr>
      </w:pPr>
      <w:r>
        <w:rPr>
          <w:rFonts w:hint="eastAsia" w:ascii="仿宋" w:hAnsi="仿宋" w:eastAsia="仿宋"/>
          <w:sz w:val="32"/>
          <w:highlight w:val="none"/>
          <w:lang w:val="en-US" w:eastAsia="zh-CN"/>
        </w:rPr>
        <w:t>（2）同案例一规则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案例四：预期信用损失率调整是否属于会计政策变更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1．案例及相关问题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D公司20X3年年报显示，账龄组合的应收账款预期信用损失率较去年同期大幅调增。公司表示，近年来客户类型和业务结构保持稳定，</w:t>
      </w:r>
      <w:r>
        <w:rPr>
          <w:rFonts w:hint="eastAsia" w:ascii="仿宋" w:hAnsi="仿宋" w:eastAsia="仿宋"/>
          <w:sz w:val="32"/>
          <w:highlight w:val="none"/>
          <w:lang w:val="en-US" w:eastAsia="zh-CN"/>
        </w:rPr>
        <w:t>预期信用损失模型及减值计提方法并未发生变化；预期信用损失率增加，主要由于</w:t>
      </w:r>
      <w:r>
        <w:rPr>
          <w:rFonts w:hint="eastAsia" w:ascii="仿宋" w:hAnsi="仿宋" w:eastAsia="仿宋" w:cs="仿宋"/>
          <w:sz w:val="32"/>
          <w:szCs w:val="32"/>
          <w:highlight w:val="none"/>
          <w:lang w:val="en-US" w:eastAsia="zh-CN"/>
        </w:rPr>
        <w:t>本年度综合考虑宏观环境影响、客户资信情况、回款能力及意愿等因素，对由迁徙率计算得出的历史损失率做出前瞻性调整，调整后4年以内账龄的预期信用损失率较历史损失率均有较大提高，因此坏账准备计提比例显著增加。D公司将其作为会计政策变更进行追溯调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问题：上述由于前瞻性调整导致的预期信用损失率变化是否属于会计政策变更？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2．参考意见</w:t>
      </w:r>
    </w:p>
    <w:p>
      <w:pPr>
        <w:spacing w:line="560" w:lineRule="exact"/>
        <w:ind w:firstLine="640" w:firstLineChars="200"/>
        <w:rPr>
          <w:rFonts w:hint="default" w:ascii="仿宋" w:hAnsi="仿宋" w:eastAsia="仿宋"/>
          <w:sz w:val="32"/>
          <w:highlight w:val="none"/>
          <w:lang w:val="en-US" w:eastAsia="zh-CN"/>
        </w:rPr>
      </w:pPr>
      <w:r>
        <w:rPr>
          <w:rFonts w:hint="eastAsia" w:ascii="仿宋" w:hAnsi="仿宋" w:eastAsia="仿宋"/>
          <w:sz w:val="32"/>
          <w:highlight w:val="none"/>
          <w:lang w:val="en-US" w:eastAsia="zh-CN"/>
        </w:rPr>
        <w:t>根据企业会计准则及相关规定，企业在评估金融工具预期信用损失时应当考虑所有合理且有依据的信息（包括前瞻性信息），并需在每个资产负债表日以最近可利用的、可靠的信息为基础作出新的判断。</w:t>
      </w:r>
    </w:p>
    <w:p>
      <w:pPr>
        <w:spacing w:line="560" w:lineRule="exact"/>
        <w:ind w:firstLine="640" w:firstLineChars="200"/>
        <w:rPr>
          <w:rFonts w:hint="eastAsia" w:ascii="仿宋" w:hAnsi="仿宋" w:eastAsia="仿宋"/>
          <w:sz w:val="32"/>
          <w:highlight w:val="none"/>
          <w:lang w:val="en-US" w:eastAsia="zh-CN"/>
        </w:rPr>
      </w:pPr>
      <w:r>
        <w:rPr>
          <w:rFonts w:hint="eastAsia" w:ascii="仿宋" w:hAnsi="仿宋" w:eastAsia="仿宋"/>
          <w:sz w:val="32"/>
          <w:highlight w:val="none"/>
          <w:lang w:val="en-US" w:eastAsia="zh-CN"/>
        </w:rPr>
        <w:t>本案例中，D公司依据预期信用损失模型计提应收账款信用减值损失，基于资产负债表日可以获得的信息对预期信用损失模型主要参数作出调整，预期信用损失模型及减值计提方法未发生变化。相关事项不涉及会计确认、计量基础选择或列报项目的变更，不属于会计政策变更，不应进行追溯调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3．相关规则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w:t>
      </w:r>
      <w:r>
        <w:rPr>
          <w:rFonts w:hint="eastAsia" w:ascii="仿宋" w:hAnsi="仿宋" w:eastAsia="仿宋"/>
          <w:sz w:val="32"/>
          <w:highlight w:val="none"/>
          <w:lang w:eastAsia="zh-CN"/>
        </w:rPr>
        <w:t>企业会计准则第22号——金融工具确认和计量（2017年）</w:t>
      </w:r>
      <w:r>
        <w:rPr>
          <w:rFonts w:hint="eastAsia" w:ascii="仿宋" w:hAnsi="仿宋" w:eastAsia="仿宋" w:cs="仿宋"/>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第四十七条  预期信用损失，是指以发生违约的风险为权重的金融工具信用损失的加权平均值。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信用损失，是指企业按照原实际利率折现的、根据合同应收的所有合同现金流量与预期收取的所有现金流量之间的差额，即全部现金短缺的现值。其中，对于企业购买或源生的已发生信用减值的金融资产，应按照该金融资产经信用调整的实际利率折现。由于预期信用损失考虑付款的金额和时间分布，因此即使企业预计可以全额收款但收款时间晚于合同规定的到期期限，也会产生信用损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第四十八条  企业在进行相关评估时，应当考虑所有合理且有依据的信息，包括前瞻性信息。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t>第五十八条</w:t>
      </w:r>
      <w:r>
        <w:rPr>
          <w:rFonts w:hint="eastAsia" w:ascii="仿宋" w:hAnsi="仿宋" w:eastAsia="仿宋" w:cs="仿宋"/>
          <w:sz w:val="32"/>
          <w:szCs w:val="32"/>
          <w:highlight w:val="none"/>
          <w:lang w:val="en-US" w:eastAsia="zh-CN"/>
        </w:rPr>
        <w:t xml:space="preserve">  </w:t>
      </w:r>
      <w:r>
        <w:rPr>
          <w:rFonts w:hint="default" w:ascii="仿宋" w:hAnsi="仿宋" w:eastAsia="仿宋" w:cs="仿宋"/>
          <w:sz w:val="32"/>
          <w:szCs w:val="32"/>
          <w:highlight w:val="none"/>
          <w:lang w:val="en-US" w:eastAsia="zh-CN"/>
        </w:rPr>
        <w:t>企业计量金融工具预期信用损失的方法应当反映下列各项要素：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t>（一）通过评价一系列可能的结果而确定的无偏概率加权平均金额。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t>（二）货币时间价值。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highlight w:val="none"/>
          <w:lang w:val="en-US" w:eastAsia="zh-CN"/>
        </w:rPr>
      </w:pPr>
      <w:r>
        <w:rPr>
          <w:rFonts w:hint="default" w:ascii="仿宋" w:hAnsi="仿宋" w:eastAsia="仿宋" w:cs="仿宋"/>
          <w:sz w:val="32"/>
          <w:szCs w:val="32"/>
          <w:highlight w:val="none"/>
          <w:lang w:val="en-US" w:eastAsia="zh-CN"/>
        </w:rPr>
        <w:t>（三）在资产负债表日无须付出不必要的额外成本或努力即可获得的有关过去事项、当前状况以及未来经济状况预测的合理且有依据的信息。</w:t>
      </w:r>
    </w:p>
    <w:p>
      <w:pPr>
        <w:spacing w:line="560" w:lineRule="exact"/>
        <w:ind w:firstLine="640" w:firstLineChars="200"/>
        <w:rPr>
          <w:rFonts w:hint="eastAsia" w:ascii="仿宋" w:hAnsi="仿宋" w:eastAsia="仿宋"/>
          <w:sz w:val="32"/>
          <w:highlight w:val="none"/>
          <w:lang w:val="en-US" w:eastAsia="zh-CN"/>
        </w:rPr>
      </w:pPr>
      <w:r>
        <w:rPr>
          <w:rFonts w:hint="eastAsia" w:ascii="仿宋" w:hAnsi="仿宋" w:eastAsia="仿宋"/>
          <w:sz w:val="32"/>
          <w:highlight w:val="none"/>
          <w:lang w:val="en-US" w:eastAsia="zh-CN"/>
        </w:rPr>
        <w:t>（2）同案例三规则</w:t>
      </w:r>
    </w:p>
    <w:p>
      <w:pPr>
        <w:pStyle w:val="2"/>
        <w:rPr>
          <w:rFonts w:hint="default"/>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小结</w:t>
      </w:r>
    </w:p>
    <w:p>
      <w:pPr>
        <w:spacing w:line="56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highlight w:val="none"/>
          <w:lang w:eastAsia="zh-CN"/>
        </w:rPr>
        <w:t>每年年报披露时，部分上市公司同时披露有关会计差错更正或会计政策变更的公告。前期差错更正、会计政策变更涉及追溯调整的处理方法，对上市公司财务信息的可靠性、不同期间财务信息的可比性产生较大影响。相关事项属于会计政策变更、会计估计变更还是前期差错更正，涉及职业判断，需要会计师事务所充分予以关注。</w:t>
      </w:r>
    </w:p>
    <w:p>
      <w:pPr>
        <w:spacing w:line="560" w:lineRule="exact"/>
        <w:ind w:firstLine="640" w:firstLineChars="200"/>
        <w:rPr>
          <w:rFonts w:hint="default" w:ascii="仿宋" w:hAnsi="仿宋" w:eastAsia="仿宋" w:cs="仿宋_GB2312"/>
          <w:sz w:val="32"/>
          <w:szCs w:val="32"/>
          <w:highlight w:val="none"/>
          <w:lang w:val="en-US" w:eastAsia="zh-CN"/>
        </w:rPr>
      </w:pPr>
      <w:r>
        <w:rPr>
          <w:rFonts w:hint="eastAsia" w:ascii="仿宋" w:hAnsi="仿宋" w:eastAsia="仿宋" w:cs="仿宋_GB2312"/>
          <w:sz w:val="32"/>
          <w:szCs w:val="32"/>
          <w:highlight w:val="none"/>
          <w:lang w:eastAsia="zh-CN"/>
        </w:rPr>
        <w:t>根据企业会计准则，</w:t>
      </w:r>
      <w:r>
        <w:rPr>
          <w:rFonts w:hint="eastAsia" w:ascii="仿宋" w:hAnsi="仿宋" w:eastAsia="仿宋" w:cs="仿宋_GB2312"/>
          <w:sz w:val="32"/>
          <w:szCs w:val="32"/>
          <w:highlight w:val="none"/>
        </w:rPr>
        <w:t>前期差错是指企业没有运用或错误运用相关可靠信息，而对前期财务报表造成省略或错报。</w:t>
      </w:r>
      <w:r>
        <w:rPr>
          <w:rFonts w:hint="eastAsia" w:ascii="仿宋" w:hAnsi="仿宋" w:eastAsia="仿宋" w:cs="仿宋_GB2312"/>
          <w:sz w:val="32"/>
          <w:szCs w:val="32"/>
          <w:highlight w:val="none"/>
          <w:lang w:eastAsia="zh-CN"/>
        </w:rPr>
        <w:t>本期案例一和案例二分别涉及公司没有正确运用前期编制财务报告时、财务报告报出日前取得的可靠信息，导致报表存在错报。</w:t>
      </w:r>
    </w:p>
    <w:p>
      <w:pPr>
        <w:spacing w:line="560" w:lineRule="exact"/>
        <w:ind w:firstLine="640" w:firstLineChars="200"/>
        <w:rPr>
          <w:rFonts w:hint="eastAsia" w:ascii="仿宋" w:hAnsi="仿宋" w:eastAsia="仿宋" w:cs="仿宋_GB2312"/>
          <w:sz w:val="32"/>
          <w:szCs w:val="32"/>
          <w:highlight w:val="none"/>
          <w:lang w:eastAsia="zh-CN"/>
        </w:rPr>
      </w:pPr>
      <w:r>
        <w:rPr>
          <w:rFonts w:hint="eastAsia" w:ascii="仿宋" w:hAnsi="仿宋" w:eastAsia="仿宋" w:cs="仿宋_GB2312"/>
          <w:sz w:val="32"/>
          <w:szCs w:val="32"/>
          <w:highlight w:val="none"/>
        </w:rPr>
        <w:t>会计政策变更是指企业对相同</w:t>
      </w:r>
      <w:r>
        <w:rPr>
          <w:rFonts w:hint="eastAsia" w:ascii="仿宋" w:hAnsi="仿宋" w:eastAsia="仿宋" w:cs="仿宋_GB2312"/>
          <w:sz w:val="32"/>
          <w:szCs w:val="32"/>
          <w:highlight w:val="none"/>
          <w:lang w:eastAsia="zh-CN"/>
        </w:rPr>
        <w:t>或类似</w:t>
      </w:r>
      <w:r>
        <w:rPr>
          <w:rFonts w:hint="eastAsia" w:ascii="仿宋" w:hAnsi="仿宋" w:eastAsia="仿宋" w:cs="仿宋_GB2312"/>
          <w:sz w:val="32"/>
          <w:szCs w:val="32"/>
          <w:highlight w:val="none"/>
        </w:rPr>
        <w:t>的交易或者事项由原来采用的会计政策改用另一会计政策的行为。会计估计变更是指由于资产和负债的当期状况及预期经济利益和义务发生了变化，从而对资产或负债的账面价值或资产的定期消耗金额进行调整。</w:t>
      </w:r>
      <w:r>
        <w:rPr>
          <w:rFonts w:hint="eastAsia" w:ascii="仿宋" w:hAnsi="仿宋" w:eastAsia="仿宋" w:cs="仿宋_GB2312"/>
          <w:sz w:val="32"/>
          <w:szCs w:val="32"/>
          <w:highlight w:val="none"/>
          <w:lang w:eastAsia="zh-CN"/>
        </w:rPr>
        <w:t>区分会计政策变更还是会计估计变更时，应当以变更事项的会计确认、计量基础和列报项目是否发生变更为基础进行判断。</w:t>
      </w:r>
    </w:p>
    <w:p>
      <w:pPr>
        <w:spacing w:line="560" w:lineRule="exact"/>
        <w:ind w:firstLine="640" w:firstLineChars="200"/>
        <w:rPr>
          <w:rFonts w:hint="default"/>
          <w:highlight w:val="none"/>
          <w:lang w:val="en-US" w:eastAsia="zh-CN"/>
        </w:rPr>
      </w:pPr>
      <w:r>
        <w:rPr>
          <w:rFonts w:hint="eastAsia" w:ascii="仿宋" w:hAnsi="仿宋" w:eastAsia="仿宋" w:cs="仿宋_GB2312"/>
          <w:sz w:val="32"/>
          <w:szCs w:val="32"/>
          <w:highlight w:val="none"/>
          <w:lang w:eastAsia="zh-CN"/>
        </w:rPr>
        <w:t>与会计政策变更、会计估计变更相比，</w:t>
      </w:r>
      <w:r>
        <w:rPr>
          <w:rFonts w:hint="eastAsia" w:ascii="仿宋" w:hAnsi="仿宋" w:eastAsia="仿宋" w:cs="仿宋_GB2312"/>
          <w:sz w:val="32"/>
          <w:szCs w:val="32"/>
          <w:highlight w:val="none"/>
        </w:rPr>
        <w:t>前期差错更正的重要区别在于前期报表编制及批准报出时，是否已经充分考虑和合理运用了当时预期能够取得的所有可靠信息。</w:t>
      </w:r>
      <w:r>
        <w:rPr>
          <w:rFonts w:hint="eastAsia" w:ascii="仿宋" w:hAnsi="仿宋" w:eastAsia="仿宋" w:cs="仿宋_GB2312"/>
          <w:sz w:val="32"/>
          <w:szCs w:val="32"/>
          <w:highlight w:val="none"/>
          <w:lang w:eastAsia="zh-CN"/>
        </w:rPr>
        <w:t>会计师事务所在审计过程中，应当对相关事实进行仔细核实，以便作出合理的职业判断。</w:t>
      </w:r>
    </w:p>
    <w:bookmarkEnd w:id="0"/>
    <w:bookmarkEnd w:id="1"/>
    <w:bookmarkEnd w:id="2"/>
    <w:bookmarkEnd w:id="3"/>
    <w:bookmarkEnd w:id="4"/>
    <w:bookmarkEnd w:id="5"/>
    <w:p>
      <w:pPr>
        <w:topLinePunct/>
        <w:adjustRightInd w:val="0"/>
        <w:snapToGrid w:val="0"/>
        <w:spacing w:line="560" w:lineRule="exact"/>
        <w:ind w:firstLine="640" w:firstLineChars="200"/>
        <w:outlineLvl w:val="0"/>
        <w:rPr>
          <w:rFonts w:ascii="黑体" w:hAnsi="黑体" w:eastAsia="黑体" w:cs="Times New Roman"/>
          <w:color w:val="000000"/>
          <w:sz w:val="32"/>
          <w:szCs w:val="32"/>
          <w:highlight w:val="none"/>
        </w:rPr>
      </w:pPr>
      <w:r>
        <w:rPr>
          <w:rFonts w:hint="eastAsia" w:ascii="黑体" w:hAnsi="黑体" w:eastAsia="黑体" w:cs="Times New Roman"/>
          <w:color w:val="000000"/>
          <w:sz w:val="32"/>
          <w:szCs w:val="32"/>
          <w:highlight w:val="none"/>
        </w:rPr>
        <w:t>三、会计审计政策资讯</w:t>
      </w:r>
    </w:p>
    <w:p>
      <w:pPr>
        <w:topLinePunct/>
        <w:adjustRightInd w:val="0"/>
        <w:snapToGrid w:val="0"/>
        <w:spacing w:line="560" w:lineRule="exact"/>
        <w:ind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（一）国务院发布</w:t>
      </w:r>
      <w:r>
        <w:rPr>
          <w:rFonts w:hint="eastAsia" w:ascii="楷体" w:hAnsi="楷体" w:eastAsia="楷体" w:cs="Times New Roman"/>
          <w:color w:val="000000"/>
          <w:sz w:val="32"/>
          <w:szCs w:val="32"/>
          <w:highlight w:val="none"/>
          <w:lang w:eastAsia="zh-CN"/>
        </w:rPr>
        <w:t>新“国九条”</w:t>
      </w:r>
    </w:p>
    <w:p>
      <w:pPr>
        <w:topLinePunct/>
        <w:adjustRightInd w:val="0"/>
        <w:snapToGrid w:val="0"/>
        <w:spacing w:line="560" w:lineRule="exact"/>
        <w:ind w:firstLine="640" w:firstLineChars="200"/>
        <w:rPr>
          <w:rFonts w:hint="eastAsia" w:ascii="楷体" w:hAnsi="楷体" w:eastAsia="楷体" w:cs="Times New Roman"/>
          <w:color w:val="000000"/>
          <w:sz w:val="32"/>
          <w:szCs w:val="32"/>
          <w:highlight w:val="none"/>
        </w:rPr>
      </w:pPr>
      <w:r>
        <w:rPr>
          <w:rFonts w:hint="eastAsia" w:ascii="仿宋" w:hAnsi="仿宋" w:eastAsia="仿宋" w:cs="Times New Roman"/>
          <w:color w:val="000000"/>
          <w:sz w:val="32"/>
          <w:szCs w:val="32"/>
          <w:highlight w:val="none"/>
        </w:rPr>
        <w:t>2024年4月12日</w:t>
      </w:r>
      <w:r>
        <w:rPr>
          <w:rFonts w:hint="eastAsia" w:ascii="仿宋" w:hAnsi="仿宋" w:eastAsia="仿宋" w:cs="Times New Roman"/>
          <w:color w:val="000000"/>
          <w:sz w:val="32"/>
          <w:szCs w:val="32"/>
          <w:highlight w:val="none"/>
          <w:lang w:val="en-US" w:eastAsia="zh-CN"/>
        </w:rPr>
        <w:t>，国务院发布《关于加强监管防范风险推动资本市场高质量发展的若干意见》（以下简称新“国九条”）。新“国九条”共九大部分，一是总体要求，二是严把发行上市准入关，三是严格上市公司持续监管，四是加大退市监管力度，五是加强证券基金机构监管，推动行业回归本源、做优做强，六是加强交易监管，增强资本市场内在稳定性，七是大力推动中长期资金入市，持续壮大长期投资力量，八是进一步全面深化改革开放，更好服务高质量发展，九是推动形成促进资本市场高质量发展的合力。其中，新“国九条”要求提高发行上市辅导质效，扩大对在审企业及相关中介机构现场检查覆盖面，进一步压实发行人第一责任和中介机构“看门人”责任，建立中介机构“黑名单”制度；坚持“申报即担责”，严查欺诈发行等违法违规问题。</w:t>
      </w:r>
    </w:p>
    <w:p>
      <w:pPr>
        <w:topLinePunct/>
        <w:adjustRightInd w:val="0"/>
        <w:snapToGrid w:val="0"/>
        <w:spacing w:line="560" w:lineRule="exact"/>
        <w:ind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eastAsia="zh-CN"/>
        </w:rPr>
        <w:t>二</w:t>
      </w:r>
      <w:r>
        <w:rPr>
          <w:rFonts w:hint="eastAsia" w:ascii="楷体" w:hAnsi="楷体" w:eastAsia="楷体" w:cs="Times New Roman"/>
          <w:color w:val="000000"/>
          <w:sz w:val="32"/>
          <w:szCs w:val="32"/>
          <w:highlight w:val="none"/>
        </w:rPr>
        <w:t>）证监会系统会计审计政策资讯</w:t>
      </w:r>
    </w:p>
    <w:p>
      <w:pPr>
        <w:topLinePunct/>
        <w:adjustRightInd w:val="0"/>
        <w:snapToGrid w:val="0"/>
        <w:spacing w:line="560" w:lineRule="exact"/>
        <w:ind w:firstLine="640" w:firstLineChars="200"/>
        <w:outlineLvl w:val="2"/>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1</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深交所</w:t>
      </w:r>
      <w:r>
        <w:rPr>
          <w:rFonts w:hint="eastAsia" w:ascii="楷体" w:hAnsi="楷体" w:eastAsia="楷体" w:cs="Times New Roman"/>
          <w:color w:val="000000"/>
          <w:sz w:val="32"/>
          <w:szCs w:val="32"/>
          <w:highlight w:val="none"/>
        </w:rPr>
        <w:t>发布《独立董事和审计委员会履职手册》</w:t>
      </w:r>
    </w:p>
    <w:p>
      <w:pPr>
        <w:pStyle w:val="14"/>
        <w:spacing w:after="0" w:line="560" w:lineRule="exact"/>
        <w:ind w:left="0" w:leftChars="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2024年4月11日，深交所向市场公开发布《独立董事和审计委员会履职手册》。《履职手册》明确独立董事和审计委员会履职的总体要求，强调相关主体应当忠实、勤勉、谨慎履职；详细梳理独立董事、审计委员会的职责范围、履职基本要求、履职监督重点等内容，特别要求独立董事应当充分发挥事前审议监督职责、积极行使特别职权、加强对潜在重大利益冲突事项的监督力度；归纳细化审计委员会对上市公司财务信息、内部控制事项、年报编制及披露的监督要求。</w:t>
      </w:r>
    </w:p>
    <w:p>
      <w:pPr>
        <w:topLinePunct/>
        <w:adjustRightInd w:val="0"/>
        <w:snapToGrid w:val="0"/>
        <w:spacing w:line="560" w:lineRule="exact"/>
        <w:ind w:firstLine="640" w:firstLineChars="20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2</w:t>
      </w:r>
      <w:r>
        <w:rPr>
          <w:rFonts w:hint="eastAsia" w:ascii="楷体" w:hAnsi="楷体" w:eastAsia="楷体" w:cs="Times New Roman"/>
          <w:color w:val="000000"/>
          <w:sz w:val="32"/>
          <w:szCs w:val="32"/>
          <w:highlight w:val="none"/>
        </w:rPr>
        <w:t>．证监会发布《关于严格执行退市制度的意见》</w:t>
      </w:r>
    </w:p>
    <w:p>
      <w:pPr>
        <w:topLinePunct/>
        <w:adjustRightInd w:val="0"/>
        <w:snapToGrid w:val="0"/>
        <w:spacing w:line="560" w:lineRule="exact"/>
        <w:ind w:firstLine="640" w:firstLineChars="200"/>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2024年4月12日，证监会发布《关于严格执行退市制度的意见》</w:t>
      </w:r>
      <w:r>
        <w:rPr>
          <w:rFonts w:hint="eastAsia" w:ascii="仿宋" w:hAnsi="仿宋" w:eastAsia="仿宋" w:cs="Times New Roman"/>
          <w:color w:val="000000"/>
          <w:sz w:val="32"/>
          <w:szCs w:val="32"/>
          <w:highlight w:val="none"/>
          <w:lang w:val="en-US" w:eastAsia="zh-CN"/>
        </w:rPr>
        <w:t>。《退市意见》着眼于提升存量上市公司整体质量，通过严格退市标准，加大对“僵尸空壳”和“害群之马”出清力度，削减“壳”资源价值；同时，拓宽多元退出渠道，加强退市公司投资者保护。具体包括严格强制退市标准、进一步畅通多元退市渠道、削减“壳”资源价值、强化退市监管、落实退市投资者赔偿救济。</w:t>
      </w:r>
    </w:p>
    <w:p>
      <w:pPr>
        <w:topLinePunct/>
        <w:adjustRightInd w:val="0"/>
        <w:snapToGrid w:val="0"/>
        <w:spacing w:line="560" w:lineRule="exact"/>
        <w:ind w:firstLine="640" w:firstLineChars="200"/>
        <w:outlineLvl w:val="2"/>
        <w:rPr>
          <w:rFonts w:hint="eastAsia" w:ascii="楷体" w:hAnsi="楷体" w:eastAsia="楷体" w:cs="Times New Roman"/>
          <w:color w:val="000000"/>
          <w:sz w:val="32"/>
          <w:szCs w:val="32"/>
          <w:highlight w:val="none"/>
          <w:lang w:val="en-US" w:eastAsia="zh-CN"/>
        </w:rPr>
      </w:pPr>
      <w:r>
        <w:rPr>
          <w:rFonts w:hint="eastAsia" w:ascii="楷体" w:hAnsi="楷体" w:eastAsia="楷体" w:cs="Times New Roman"/>
          <w:color w:val="000000"/>
          <w:sz w:val="32"/>
          <w:szCs w:val="32"/>
          <w:highlight w:val="none"/>
          <w:lang w:val="en-US" w:eastAsia="zh-CN"/>
        </w:rPr>
        <w:t>3</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深交所发布《上市公司自律监管指引第17号——可持续发展报告（试行）》</w:t>
      </w:r>
    </w:p>
    <w:p>
      <w:pPr>
        <w:pStyle w:val="14"/>
        <w:spacing w:after="0" w:line="560" w:lineRule="exact"/>
        <w:ind w:left="0" w:leftChars="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2024</w:t>
      </w:r>
      <w:r>
        <w:rPr>
          <w:rFonts w:hint="eastAsia" w:ascii="仿宋" w:hAnsi="仿宋" w:eastAsia="仿宋" w:cs="Times New Roman"/>
          <w:color w:val="000000"/>
          <w:sz w:val="32"/>
          <w:szCs w:val="32"/>
          <w:highlight w:val="none"/>
          <w:lang w:val="en-US" w:eastAsia="zh-CN"/>
        </w:rPr>
        <w:t>年4月12日，深交所发布《上市公司自律监管指引第17号——可持续发展报告（试行）》。《指引》要求报告期内持续被纳入深证100、创业板指数的样本公司，以及境内外同时上市的深市上市公司应当在2026年4月30日前发布按照《指引》规定编制的2025年度《可持续发展报告》，相关上市公司应当提前做好相关技术、数据和内部治理等工作安排，鼓励其他深市上市公司自愿披露。上市公司应当结合自身所处行业和经营业务特点等情况，在《指引》设置的议题中识别并分析每个议题是否有财务重要性及影响重要性。《指引》还明确了应对气候变化、环境信息、社会信息、可持续发展相关治理信息的披露要求。</w:t>
      </w:r>
    </w:p>
    <w:p>
      <w:pPr>
        <w:topLinePunct/>
        <w:adjustRightInd w:val="0"/>
        <w:snapToGrid w:val="0"/>
        <w:spacing w:after="0" w:line="560" w:lineRule="exact"/>
        <w:ind w:left="0" w:leftChars="0" w:firstLine="640" w:firstLineChars="200"/>
        <w:outlineLvl w:val="2"/>
        <w:rPr>
          <w:rFonts w:hint="eastAsia" w:ascii="楷体" w:hAnsi="楷体" w:eastAsia="楷体" w:cs="Times New Roman"/>
          <w:color w:val="000000"/>
          <w:sz w:val="32"/>
          <w:szCs w:val="32"/>
          <w:highlight w:val="none"/>
          <w:lang w:val="en-US" w:eastAsia="zh-CN"/>
        </w:rPr>
      </w:pPr>
      <w:r>
        <w:rPr>
          <w:rFonts w:hint="eastAsia" w:ascii="楷体" w:hAnsi="楷体" w:eastAsia="楷体" w:cs="Times New Roman"/>
          <w:color w:val="000000"/>
          <w:sz w:val="32"/>
          <w:szCs w:val="32"/>
          <w:highlight w:val="none"/>
          <w:lang w:val="en-US" w:eastAsia="zh-CN"/>
        </w:rPr>
        <w:t>4．证监会发布《资本市场服务科技企业高水平发展的十六项措施》</w:t>
      </w:r>
    </w:p>
    <w:p>
      <w:pPr>
        <w:pStyle w:val="14"/>
        <w:spacing w:after="0" w:line="560" w:lineRule="exact"/>
        <w:ind w:left="0" w:leftChars="0"/>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lang w:val="en-US" w:eastAsia="zh-CN"/>
        </w:rPr>
        <w:t>2024年4月19日，证监会发布《资本市场服务科技企业高水平发展的十六项措施》，从上市融资、并购重组、债券发行、私募投资等方面全方位提出支持性举措。《十六项措施》强调要压实各方责任，坚持“申报即担责”原则，压严压实拟发行证券的科技型企业及相关中介机构责任，确保信息披露的真实准确完整，依法严厉打击信披违法违规和欺诈发行，保护好投资者合法权益。</w:t>
      </w:r>
    </w:p>
    <w:p>
      <w:pPr>
        <w:topLinePunct/>
        <w:adjustRightInd w:val="0"/>
        <w:snapToGrid w:val="0"/>
        <w:spacing w:line="560" w:lineRule="exact"/>
        <w:ind w:firstLine="640" w:firstLineChars="20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5</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深交所发布《股票发行上市审核规则》等9项规则</w:t>
      </w:r>
    </w:p>
    <w:p>
      <w:pPr>
        <w:pStyle w:val="14"/>
        <w:spacing w:after="0" w:line="560" w:lineRule="exact"/>
        <w:ind w:left="0" w:leftChars="0"/>
        <w:rPr>
          <w:rFonts w:hint="eastAsia" w:ascii="仿宋" w:hAnsi="仿宋" w:eastAsia="仿宋" w:cs="Times New Roman"/>
          <w:color w:val="000000"/>
          <w:sz w:val="32"/>
          <w:szCs w:val="32"/>
          <w:highlight w:val="none"/>
          <w:lang w:eastAsia="zh-CN"/>
        </w:rPr>
      </w:pPr>
      <w:r>
        <w:rPr>
          <w:rFonts w:hint="eastAsia" w:ascii="仿宋" w:hAnsi="仿宋" w:eastAsia="仿宋" w:cs="Times New Roman"/>
          <w:color w:val="000000"/>
          <w:sz w:val="32"/>
          <w:szCs w:val="32"/>
          <w:highlight w:val="none"/>
        </w:rPr>
        <w:t>2024年4月30日，深交所正式发布《股票发行上市审核规则》等9项配套业务规则</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具体分为三类：一是6项发行上市审核类规则，分别是《股票发行上市审核规则》《上市公司重大资产重组审核规则》《上市审核委员会和并购重组审核委员会管理办法》《创业板企业发行上市申报及推荐暂行规定》，以及《申请文件受理指引》《现场督导指引》。上述规则修改完善</w:t>
      </w:r>
      <w:r>
        <w:rPr>
          <w:rFonts w:hint="eastAsia" w:ascii="仿宋" w:hAnsi="仿宋" w:eastAsia="仿宋" w:cs="Times New Roman"/>
          <w:color w:val="000000"/>
          <w:sz w:val="32"/>
          <w:szCs w:val="32"/>
          <w:highlight w:val="none"/>
          <w:lang w:eastAsia="zh-CN"/>
        </w:rPr>
        <w:t>的</w:t>
      </w:r>
      <w:r>
        <w:rPr>
          <w:rFonts w:hint="eastAsia" w:ascii="仿宋" w:hAnsi="仿宋" w:eastAsia="仿宋" w:cs="Times New Roman"/>
          <w:color w:val="000000"/>
          <w:sz w:val="32"/>
          <w:szCs w:val="32"/>
          <w:highlight w:val="none"/>
        </w:rPr>
        <w:t>主要目的是，强化严把市场入口关，提高发行上市财务指标，完善创业板定位把握标准，强化财务真实性审核，加大现场督导力度，规范上市前突击“清仓式”分红，压紧压实中介机构责任等。二是1项发行承销类规则，即《投资价值研究报告报备关注事项指引》。主要制定目的是，落实从严监管高价超募要求，进一步规范承销商出具投资价值研究报告等行为，加大发行承销监管力度。三是2项上市公司监管类规则，分别是《股票上市规则》《创业板股票上市规则》。主要</w:t>
      </w:r>
      <w:r>
        <w:rPr>
          <w:rFonts w:hint="eastAsia" w:ascii="仿宋" w:hAnsi="仿宋" w:eastAsia="仿宋" w:cs="Times New Roman"/>
          <w:color w:val="000000"/>
          <w:sz w:val="32"/>
          <w:szCs w:val="32"/>
          <w:highlight w:val="none"/>
          <w:lang w:eastAsia="zh-CN"/>
        </w:rPr>
        <w:t>修订</w:t>
      </w:r>
      <w:r>
        <w:rPr>
          <w:rFonts w:hint="eastAsia" w:ascii="仿宋" w:hAnsi="仿宋" w:eastAsia="仿宋" w:cs="Times New Roman"/>
          <w:color w:val="000000"/>
          <w:sz w:val="32"/>
          <w:szCs w:val="32"/>
          <w:highlight w:val="none"/>
        </w:rPr>
        <w:t>目的是，强化持续监管要求，优化上市条件，加强现金分红硬约束，严格退市标准，加快形成应退尽退、及时出清的常态化退市格局。</w:t>
      </w:r>
    </w:p>
    <w:p>
      <w:pPr>
        <w:topLinePunct/>
        <w:adjustRightInd w:val="0"/>
        <w:snapToGrid w:val="0"/>
        <w:spacing w:line="560" w:lineRule="exact"/>
        <w:ind w:firstLine="640" w:firstLineChars="200"/>
        <w:outlineLvl w:val="2"/>
        <w:rPr>
          <w:rFonts w:hint="eastAsia" w:ascii="楷体" w:hAnsi="楷体" w:eastAsia="楷体" w:cs="Times New Roman"/>
          <w:color w:val="000000"/>
          <w:sz w:val="32"/>
          <w:szCs w:val="32"/>
          <w:highlight w:val="none"/>
          <w:lang w:val="en-US" w:eastAsia="zh-CN"/>
        </w:rPr>
      </w:pPr>
      <w:r>
        <w:rPr>
          <w:rFonts w:hint="eastAsia" w:ascii="楷体" w:hAnsi="楷体" w:eastAsia="楷体" w:cs="Times New Roman"/>
          <w:color w:val="000000"/>
          <w:sz w:val="32"/>
          <w:szCs w:val="32"/>
          <w:highlight w:val="none"/>
          <w:lang w:val="en-US" w:eastAsia="zh-CN"/>
        </w:rPr>
        <w:t>6</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吴清主席在2024陆家嘴论坛开幕式上发表主旨演讲</w:t>
      </w:r>
    </w:p>
    <w:p>
      <w:pPr>
        <w:pStyle w:val="14"/>
        <w:spacing w:after="0" w:line="560" w:lineRule="exact"/>
        <w:ind w:left="0" w:leftChars="0"/>
        <w:rPr>
          <w:rFonts w:hint="default"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2024</w:t>
      </w:r>
      <w:r>
        <w:rPr>
          <w:rFonts w:hint="eastAsia" w:ascii="仿宋" w:hAnsi="仿宋" w:eastAsia="仿宋" w:cs="Times New Roman"/>
          <w:color w:val="000000"/>
          <w:sz w:val="32"/>
          <w:szCs w:val="32"/>
          <w:highlight w:val="none"/>
          <w:lang w:val="en-US" w:eastAsia="zh-CN"/>
        </w:rPr>
        <w:t>年6月19日，证监会主席吴清在2024陆家嘴论坛开幕式上发表主旨演讲。吴清主席表示，一是要积极主动拥抱新质生产力发展。要提升多层次市场的服务覆盖面和精准度；要壮大耐心资本；要从制度机制以及理念上解决包容创新的问题。二是要大力推动上市公司提升投资价值。要求投资银行等中介机构勤勉尽责，加快提升专业能力，在当好“看门人”的同时，更好发挥交易“撮合者”作用，通过更优质、更专业的服务，支持上市公司在推动产业创新的过程中做强主业、补链强链。三是坚持把保护投资者贯穿于资本市场制度建设和监管执法全过程。强化穿透式监管，鼓励“吹哨人”举报，压实投行、审计等中介机构“看门人”责任，汇聚部际协调、央地协同的合力，提高发现能力、惩处力度和防范水平。对于造假者和配合造假者，将一体查处，全方位立体化追责，对涉及犯罪的，坚决追究刑事责任。</w:t>
      </w:r>
    </w:p>
    <w:p>
      <w:pPr>
        <w:topLinePunct/>
        <w:adjustRightInd w:val="0"/>
        <w:snapToGrid w:val="0"/>
        <w:spacing w:line="560" w:lineRule="exact"/>
        <w:ind w:firstLine="640" w:firstLineChars="20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7</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证监会发布《公开发行证券的公司信息披露编报规则第4号——保险公司信息披露特别规定（2024年修订）》</w:t>
      </w:r>
    </w:p>
    <w:p>
      <w:pPr>
        <w:pStyle w:val="14"/>
        <w:spacing w:after="0" w:line="560" w:lineRule="exact"/>
        <w:ind w:left="0" w:leftChars="0"/>
        <w:rPr>
          <w:rFonts w:hint="default"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2024</w:t>
      </w:r>
      <w:r>
        <w:rPr>
          <w:rFonts w:hint="eastAsia" w:ascii="仿宋" w:hAnsi="仿宋" w:eastAsia="仿宋" w:cs="Times New Roman"/>
          <w:color w:val="000000"/>
          <w:sz w:val="32"/>
          <w:szCs w:val="32"/>
          <w:highlight w:val="none"/>
          <w:lang w:val="en-US" w:eastAsia="zh-CN"/>
        </w:rPr>
        <w:t>年6月21日，证监会发布《公开发行证券的公司信息披露编报规则第4号——保险公司信息披露特别规定（2024年修订）》。本次修订的主要内容包括，一是基于当前会计准则要求调整相关指标披露要求；二是基于《保险公司偿付能力监管规则（Ⅱ）》等调整相关披露要求；三是结合保险公司经营实际情况完善相关披露要求；四是明确新旧衔接的过渡期政策要求。</w:t>
      </w:r>
    </w:p>
    <w:p>
      <w:pPr>
        <w:topLinePunct/>
        <w:adjustRightInd w:val="0"/>
        <w:snapToGrid w:val="0"/>
        <w:spacing w:line="560" w:lineRule="exact"/>
        <w:ind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eastAsia="zh-CN"/>
        </w:rPr>
        <w:t>三</w:t>
      </w:r>
      <w:r>
        <w:rPr>
          <w:rFonts w:hint="eastAsia" w:ascii="楷体" w:hAnsi="楷体" w:eastAsia="楷体" w:cs="Times New Roman"/>
          <w:color w:val="000000"/>
          <w:sz w:val="32"/>
          <w:szCs w:val="32"/>
          <w:highlight w:val="none"/>
        </w:rPr>
        <w:t>）财政部、中注协会计审计政策资讯</w:t>
      </w:r>
    </w:p>
    <w:p>
      <w:pPr>
        <w:pStyle w:val="14"/>
        <w:spacing w:after="0" w:line="560" w:lineRule="exact"/>
        <w:ind w:left="0" w:leftChars="0" w:firstLine="64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1</w:t>
      </w:r>
      <w:r>
        <w:rPr>
          <w:rFonts w:hint="eastAsia" w:ascii="楷体" w:hAnsi="楷体" w:eastAsia="楷体" w:cs="Times New Roman"/>
          <w:color w:val="000000"/>
          <w:sz w:val="32"/>
          <w:szCs w:val="32"/>
          <w:highlight w:val="none"/>
        </w:rPr>
        <w:t>．财政部发布《会计师事务所数据安全管理暂行办法》</w:t>
      </w:r>
    </w:p>
    <w:p>
      <w:pPr>
        <w:topLinePunct/>
        <w:adjustRightInd w:val="0"/>
        <w:snapToGrid w:val="0"/>
        <w:spacing w:line="560" w:lineRule="exact"/>
        <w:ind w:firstLine="640" w:firstLineChars="200"/>
        <w:rPr>
          <w:rFonts w:ascii="楷体" w:hAnsi="楷体" w:eastAsia="楷体" w:cs="Times New Roman"/>
          <w:color w:val="000000"/>
          <w:sz w:val="32"/>
          <w:szCs w:val="32"/>
          <w:highlight w:val="none"/>
        </w:rPr>
      </w:pPr>
      <w:r>
        <w:rPr>
          <w:rFonts w:hint="eastAsia" w:ascii="仿宋" w:hAnsi="仿宋" w:eastAsia="仿宋" w:cs="Times New Roman"/>
          <w:color w:val="000000"/>
          <w:sz w:val="32"/>
          <w:szCs w:val="32"/>
          <w:highlight w:val="none"/>
        </w:rPr>
        <w:t>2024年5月10日</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财政部发布《会计师事务所数据安全管理暂行办法》</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《暂行办法》</w:t>
      </w:r>
      <w:r>
        <w:rPr>
          <w:rFonts w:hint="eastAsia" w:ascii="仿宋" w:hAnsi="仿宋" w:eastAsia="仿宋" w:cs="Times New Roman"/>
          <w:color w:val="000000"/>
          <w:sz w:val="32"/>
          <w:szCs w:val="32"/>
          <w:highlight w:val="none"/>
          <w:lang w:eastAsia="zh-CN"/>
        </w:rPr>
        <w:t>主要对六方面内容进行了规范，一是明确适用对象，</w:t>
      </w:r>
      <w:r>
        <w:rPr>
          <w:rFonts w:hint="eastAsia" w:ascii="仿宋" w:hAnsi="仿宋" w:eastAsia="仿宋" w:cs="Times New Roman"/>
          <w:color w:val="000000"/>
          <w:sz w:val="32"/>
          <w:szCs w:val="32"/>
          <w:highlight w:val="none"/>
        </w:rPr>
        <w:t>《暂行办法》主要适用于境内依法设立的会计师事务所开展审计业务相关数据处理活动，包括为上市公司以及非上市的国有金融机构或中央企业等提供审计服务；为关键信息基础设施运营者或者超过100万用户的网络平台运营者提供审计服务；为境内企业境外上市提供审计服务。二是规范数据分类分级</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要求会计师事务所应按照相关法律法规的规定和被审计单位所处行业数据分类分级的标准，确定核心数据、重要数据和一般数据，并对核心数据和重要数据的存储、相关日志、传输等作出明确要求。三是规范底稿管理</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规定会计师事务所审计工作底稿应按相关规定存放在境内。四是强化网络管理。五是聚焦安全可控。六是压实监管责任。</w:t>
      </w:r>
    </w:p>
    <w:p>
      <w:pPr>
        <w:topLinePunct/>
        <w:adjustRightInd w:val="0"/>
        <w:snapToGrid w:val="0"/>
        <w:spacing w:line="560" w:lineRule="exact"/>
        <w:ind w:firstLine="640" w:firstLineChars="20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2</w:t>
      </w:r>
      <w:r>
        <w:rPr>
          <w:rFonts w:hint="eastAsia" w:ascii="楷体" w:hAnsi="楷体" w:eastAsia="楷体" w:cs="Times New Roman"/>
          <w:color w:val="000000"/>
          <w:sz w:val="32"/>
          <w:szCs w:val="32"/>
          <w:highlight w:val="none"/>
        </w:rPr>
        <w:t>．中国注册会计师协会发布《商业银行信贷业务预期信用损失审计指引》</w:t>
      </w:r>
    </w:p>
    <w:p>
      <w:pPr>
        <w:spacing w:line="560" w:lineRule="exact"/>
        <w:ind w:firstLine="640" w:firstLineChars="200"/>
        <w:rPr>
          <w:highlight w:val="none"/>
        </w:rPr>
      </w:pPr>
      <w:r>
        <w:rPr>
          <w:rFonts w:hint="eastAsia" w:ascii="仿宋" w:hAnsi="仿宋" w:eastAsia="仿宋" w:cs="Times New Roman"/>
          <w:color w:val="000000"/>
          <w:sz w:val="32"/>
          <w:szCs w:val="32"/>
          <w:highlight w:val="none"/>
        </w:rPr>
        <w:t>2024年5月24日，中国注册会计师协会发布《商业银行信贷业务预期信用损失审计指引》，引导注册会计师有效控制审计风险，提高审计质量</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lang w:val="en-US" w:eastAsia="zh-CN"/>
        </w:rPr>
        <w:t>《指引》分为六章阐述，包括总则以及影响审计质量的五个关键主题，即保持职业怀疑、识别和评估重大错报风险、了解和测试内部控制、获取审计证据、利用专家的工作。针对每个关键主题，《指引》分别总结了审计时的总体考虑和有关预期信用损失关键要素的常见风险领域。</w:t>
      </w:r>
    </w:p>
    <w:p>
      <w:pPr>
        <w:pStyle w:val="14"/>
        <w:spacing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3</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财政部发布</w:t>
      </w:r>
      <w:r>
        <w:rPr>
          <w:rFonts w:hint="eastAsia" w:ascii="楷体" w:hAnsi="楷体" w:eastAsia="楷体" w:cs="Times New Roman"/>
          <w:color w:val="000000"/>
          <w:sz w:val="32"/>
          <w:szCs w:val="32"/>
          <w:highlight w:val="none"/>
        </w:rPr>
        <w:t>《企业可持续披露准则——基本准则（征求意见稿）》</w:t>
      </w:r>
    </w:p>
    <w:p>
      <w:pPr>
        <w:topLinePunct/>
        <w:adjustRightInd w:val="0"/>
        <w:snapToGrid w:val="0"/>
        <w:spacing w:line="560" w:lineRule="exact"/>
        <w:ind w:firstLine="640" w:firstLineChars="200"/>
        <w:rPr>
          <w:rFonts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2024</w:t>
      </w:r>
      <w:r>
        <w:rPr>
          <w:rFonts w:hint="eastAsia" w:ascii="仿宋" w:hAnsi="仿宋" w:eastAsia="仿宋" w:cs="Times New Roman"/>
          <w:color w:val="000000"/>
          <w:sz w:val="32"/>
          <w:szCs w:val="32"/>
          <w:highlight w:val="none"/>
          <w:lang w:val="en-US" w:eastAsia="zh-CN"/>
        </w:rPr>
        <w:t>年5月</w:t>
      </w:r>
      <w:r>
        <w:rPr>
          <w:rFonts w:hint="eastAsia" w:ascii="仿宋" w:hAnsi="仿宋" w:eastAsia="仿宋" w:cs="Times New Roman"/>
          <w:color w:val="000000"/>
          <w:sz w:val="32"/>
          <w:szCs w:val="32"/>
          <w:highlight w:val="none"/>
        </w:rPr>
        <w:t>2</w:t>
      </w:r>
      <w:r>
        <w:rPr>
          <w:rFonts w:hint="eastAsia" w:ascii="仿宋" w:hAnsi="仿宋" w:eastAsia="仿宋" w:cs="Times New Roman"/>
          <w:color w:val="000000"/>
          <w:sz w:val="32"/>
          <w:szCs w:val="32"/>
          <w:highlight w:val="none"/>
          <w:lang w:val="en-US" w:eastAsia="zh-CN"/>
        </w:rPr>
        <w:t>7日，财政部发布《企业可持续披露准则——基本准则（征求意见稿）》。《基本准则》征求意见稿的起草，主要坚持“积极借鉴、以我为主、兼收并蓄、彰显特色”的总体思路。</w:t>
      </w:r>
      <w:r>
        <w:rPr>
          <w:rFonts w:hint="eastAsia" w:ascii="仿宋" w:hAnsi="仿宋" w:eastAsia="仿宋" w:cs="Times New Roman"/>
          <w:color w:val="000000"/>
          <w:sz w:val="32"/>
          <w:szCs w:val="32"/>
          <w:highlight w:val="none"/>
          <w:lang w:eastAsia="zh-CN"/>
        </w:rPr>
        <w:t>一方面，以我为主、体现中国特色。《基本准则》征求意见稿在制定目的、适用范围、披露目标、重要性标准、体例结构以及部分技术要求等方面基于我国实际作出规定。另一方面，积极借鉴国际可持续准则理事会发布的两项国际可持续披露准则，特别是“可持续相关财务信息披露一般要求”的有益经验。《基本准则》征求意见稿与“可持续相关财务信息披露一般要求”在信息质量特征、披露要素和相关披露要求上总体保持衔接，有利于我国可持续披露准则与国际可持续准则实现趋同。</w:t>
      </w:r>
    </w:p>
    <w:p>
      <w:pPr>
        <w:pStyle w:val="14"/>
        <w:spacing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4</w:t>
      </w:r>
      <w:r>
        <w:rPr>
          <w:rFonts w:hint="eastAsia" w:ascii="楷体" w:hAnsi="楷体" w:eastAsia="楷体" w:cs="Times New Roman"/>
          <w:color w:val="000000"/>
          <w:sz w:val="32"/>
          <w:szCs w:val="32"/>
          <w:highlight w:val="none"/>
        </w:rPr>
        <w:t>．财政部</w:t>
      </w:r>
      <w:r>
        <w:rPr>
          <w:rFonts w:hint="eastAsia" w:ascii="楷体" w:hAnsi="楷体" w:eastAsia="楷体" w:cs="Times New Roman"/>
          <w:color w:val="000000"/>
          <w:sz w:val="32"/>
          <w:szCs w:val="32"/>
          <w:highlight w:val="none"/>
          <w:lang w:val="en-US" w:eastAsia="zh-CN"/>
        </w:rPr>
        <w:t>发布</w:t>
      </w:r>
      <w:r>
        <w:rPr>
          <w:rFonts w:hint="eastAsia" w:ascii="楷体" w:hAnsi="楷体" w:eastAsia="楷体" w:cs="Times New Roman"/>
          <w:color w:val="000000"/>
          <w:sz w:val="32"/>
          <w:szCs w:val="32"/>
          <w:highlight w:val="none"/>
        </w:rPr>
        <w:t>股份支付准则应用案例</w:t>
      </w:r>
    </w:p>
    <w:p>
      <w:pPr>
        <w:topLinePunct/>
        <w:adjustRightInd w:val="0"/>
        <w:snapToGrid w:val="0"/>
        <w:spacing w:line="560" w:lineRule="exact"/>
        <w:ind w:firstLine="640" w:firstLineChars="200"/>
        <w:rPr>
          <w:rFonts w:hint="default" w:ascii="仿宋" w:hAnsi="仿宋" w:eastAsia="仿宋" w:cs="Times New Roman"/>
          <w:color w:val="000000"/>
          <w:sz w:val="32"/>
          <w:szCs w:val="32"/>
          <w:highlight w:val="none"/>
          <w:lang w:val="en-US"/>
        </w:rPr>
      </w:pPr>
      <w:r>
        <w:rPr>
          <w:rFonts w:hint="eastAsia" w:ascii="仿宋" w:hAnsi="仿宋" w:eastAsia="仿宋" w:cs="Times New Roman"/>
          <w:color w:val="000000"/>
          <w:sz w:val="32"/>
          <w:szCs w:val="32"/>
          <w:highlight w:val="none"/>
        </w:rPr>
        <w:t>2024年6月20日，财政部会计司发布1项股份支付准则应用案例</w:t>
      </w:r>
      <w:r>
        <w:rPr>
          <w:rFonts w:hint="eastAsia" w:ascii="仿宋" w:hAnsi="仿宋" w:eastAsia="仿宋" w:cs="Times New Roman"/>
          <w:color w:val="000000"/>
          <w:sz w:val="32"/>
          <w:szCs w:val="32"/>
          <w:highlight w:val="none"/>
          <w:lang w:val="en-US" w:eastAsia="zh-CN"/>
        </w:rPr>
        <w:t>。案例列举了三种不同的股份支付修改情形，并明确了相关股份支付费用的确定方法。</w:t>
      </w:r>
    </w:p>
    <w:p>
      <w:pPr>
        <w:topLinePunct/>
        <w:adjustRightInd w:val="0"/>
        <w:snapToGrid w:val="0"/>
        <w:spacing w:line="560" w:lineRule="exact"/>
        <w:ind w:firstLine="640" w:firstLineChars="200"/>
        <w:outlineLvl w:val="1"/>
        <w:rPr>
          <w:rFonts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eastAsia="zh-CN"/>
        </w:rPr>
        <w:t>四</w:t>
      </w:r>
      <w:r>
        <w:rPr>
          <w:rFonts w:hint="eastAsia" w:ascii="楷体" w:hAnsi="楷体" w:eastAsia="楷体" w:cs="Times New Roman"/>
          <w:color w:val="000000"/>
          <w:sz w:val="32"/>
          <w:szCs w:val="32"/>
          <w:highlight w:val="none"/>
        </w:rPr>
        <w:t>）国际会计审计政策资讯</w:t>
      </w:r>
    </w:p>
    <w:p>
      <w:pPr>
        <w:pStyle w:val="14"/>
        <w:spacing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rPr>
        <w:t>1．</w:t>
      </w:r>
      <w:r>
        <w:rPr>
          <w:rFonts w:hint="eastAsia" w:ascii="楷体" w:hAnsi="楷体" w:eastAsia="楷体" w:cs="Times New Roman"/>
          <w:color w:val="000000"/>
          <w:sz w:val="32"/>
          <w:szCs w:val="32"/>
          <w:highlight w:val="none"/>
          <w:lang w:val="en-US"/>
        </w:rPr>
        <w:t>IASB发布对第三版中小主体国际财务报告会计准则征求意见稿的补充（征求意见稿）</w:t>
      </w:r>
    </w:p>
    <w:p>
      <w:pPr>
        <w:topLinePunct/>
        <w:adjustRightInd w:val="0"/>
        <w:snapToGrid w:val="0"/>
        <w:spacing w:line="560" w:lineRule="exact"/>
        <w:ind w:firstLine="640" w:firstLineChars="200"/>
        <w:rPr>
          <w:rFonts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2024年3月28日，国际会计准则理事会（IASB）发布《对第三版中小主体国际财务报告会计准则征求意见稿的补充（征求意见稿）》。补充征求意见稿的提议对2022年征求意见稿内容进行了以下补充：一是要求中小主体披露其各项供应商融资安排的条款和条件、属于该安排的负债金额（分别披露供应商已从融资提供方收到款项的金额，并说明该项负债是否在资产负债表中列示）、付款到期日的范围及非现金变动的类型和影响；二是要求中小主体在评估一种货币是否可兑换为另一种货币，以及当一种货币无法兑换为另一种货币时估计采用的即期汇率方面采用一致的方法。</w:t>
      </w:r>
    </w:p>
    <w:p>
      <w:pPr>
        <w:pStyle w:val="14"/>
        <w:spacing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2</w:t>
      </w:r>
      <w:r>
        <w:rPr>
          <w:rFonts w:hint="eastAsia" w:ascii="楷体" w:hAnsi="楷体" w:eastAsia="楷体" w:cs="Times New Roman"/>
          <w:color w:val="000000"/>
          <w:sz w:val="32"/>
          <w:szCs w:val="32"/>
          <w:highlight w:val="none"/>
        </w:rPr>
        <w:t>．IASB发布《国际财务报告准则第18号——财务报表列示和披露》</w:t>
      </w:r>
    </w:p>
    <w:p>
      <w:pPr>
        <w:keepNext w:val="0"/>
        <w:keepLines w:val="0"/>
        <w:pageBreakBefore w:val="0"/>
        <w:kinsoku/>
        <w:wordWrap/>
        <w:overflowPunct/>
        <w:topLinePunct/>
        <w:bidi w:val="0"/>
        <w:spacing w:line="560" w:lineRule="exact"/>
        <w:ind w:left="0" w:right="0" w:rightChars="0" w:firstLine="640" w:firstLineChars="200"/>
        <w:textAlignment w:val="center"/>
        <w:rPr>
          <w:rFonts w:hint="default"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2024年4月9日，IASB发布《国际财务报告准则第18号——财务报表列示和披露》（IFRS 18），替代《国际会计准则第1号——财务报表列报》</w:t>
      </w:r>
      <w:r>
        <w:rPr>
          <w:rFonts w:hint="eastAsia" w:ascii="仿宋" w:hAnsi="仿宋" w:eastAsia="仿宋" w:cs="Times New Roman"/>
          <w:color w:val="000000"/>
          <w:sz w:val="32"/>
          <w:szCs w:val="32"/>
          <w:highlight w:val="none"/>
          <w:lang w:val="en-US" w:eastAsia="zh-CN"/>
        </w:rPr>
        <w:t>。IFRS 18引入的新规定主要包括：一是改进利润表结构，要求企业将利润表中的损益分为经营类、投资类、筹资类、所得税费用类以及终止经营类5类，并要求企业新增列示经营利润、筹资和所得税前利润2个小计项目。二是引入管理层业绩指标的披露，将其界定为企业在财务报表之外的公开信息传播中使用的，用于向报表使用者传达管理层对企业整体财务业绩某方面看法的收益和费用的小计项目。三是强化信息汇总和分解，制定了报表信息归集的强化指南，明确阐述了主要财务报表和附注的作用，提出了汇总和分解项目的原则、一般要求及特定要求。</w:t>
      </w:r>
    </w:p>
    <w:p>
      <w:pPr>
        <w:pStyle w:val="14"/>
        <w:spacing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3</w:t>
      </w:r>
      <w:r>
        <w:rPr>
          <w:rFonts w:hint="eastAsia" w:ascii="楷体" w:hAnsi="楷体" w:eastAsia="楷体" w:cs="Times New Roman"/>
          <w:color w:val="000000"/>
          <w:sz w:val="32"/>
          <w:szCs w:val="32"/>
          <w:highlight w:val="none"/>
        </w:rPr>
        <w:t>．</w:t>
      </w:r>
      <w:r>
        <w:rPr>
          <w:rFonts w:hint="eastAsia" w:ascii="楷体" w:hAnsi="楷体" w:eastAsia="楷体" w:cs="Times New Roman"/>
          <w:color w:val="000000"/>
          <w:sz w:val="32"/>
          <w:szCs w:val="32"/>
          <w:highlight w:val="none"/>
          <w:lang w:val="en-US" w:eastAsia="zh-CN"/>
        </w:rPr>
        <w:t>IASB</w:t>
      </w:r>
      <w:r>
        <w:rPr>
          <w:rFonts w:hint="eastAsia" w:ascii="楷体" w:hAnsi="楷体" w:eastAsia="楷体" w:cs="Times New Roman"/>
          <w:color w:val="000000"/>
          <w:sz w:val="32"/>
          <w:szCs w:val="32"/>
          <w:highlight w:val="none"/>
        </w:rPr>
        <w:t>发布同一控制下的企业合并项目总结</w:t>
      </w:r>
    </w:p>
    <w:p>
      <w:pPr>
        <w:topLinePunct/>
        <w:adjustRightInd w:val="0"/>
        <w:snapToGrid w:val="0"/>
        <w:spacing w:line="560" w:lineRule="exact"/>
        <w:ind w:firstLine="640" w:firstLineChars="200"/>
        <w:textAlignment w:val="auto"/>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2024年4月17日，IASB发布了同一控制下的企业合并项目总结，标志着IASB正式终止该项目。IASB分析如何选择同控合并的会计处理方法时，提出了三个选项：一是继续研究制定确认、计量和披露要求，包括但不限于讨论稿中的初步观点；二是不规定企业如何选择同控合并的会计处理方法及账面价值法和购买法的具体确认和计量要求，仅规定披露要求；三是终止同控合并项目，对同控合并交易的会计处理不作任何规定。</w:t>
      </w:r>
    </w:p>
    <w:p>
      <w:pPr>
        <w:topLinePunct/>
        <w:adjustRightInd w:val="0"/>
        <w:snapToGrid w:val="0"/>
        <w:spacing w:line="560" w:lineRule="exact"/>
        <w:ind w:firstLine="640" w:firstLineChars="200"/>
        <w:textAlignment w:val="auto"/>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IASB经综合考虑，最终放弃选项一</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rPr>
        <w:t>原因</w:t>
      </w:r>
      <w:r>
        <w:rPr>
          <w:rFonts w:hint="eastAsia" w:ascii="仿宋" w:hAnsi="仿宋" w:eastAsia="仿宋" w:cs="Times New Roman"/>
          <w:color w:val="000000"/>
          <w:sz w:val="32"/>
          <w:szCs w:val="32"/>
          <w:highlight w:val="none"/>
          <w:lang w:eastAsia="zh-CN"/>
        </w:rPr>
        <w:t>如</w:t>
      </w:r>
      <w:r>
        <w:rPr>
          <w:rFonts w:hint="eastAsia" w:ascii="仿宋" w:hAnsi="仿宋" w:eastAsia="仿宋" w:cs="Times New Roman"/>
          <w:color w:val="000000"/>
          <w:sz w:val="32"/>
          <w:szCs w:val="32"/>
          <w:highlight w:val="none"/>
        </w:rPr>
        <w:t>下：一是使用者仅偶尔遇到同控合并交易，二是同控合并会计处理的差异对使用者不具有重大后果，三是使用者认为同控合并项目不重要，四是不同国家或地区的使用者的信息需求存在差异，五是IASB理事和利益相关方对具体方法未达成一致，六是制定和实施新规定的成本总体上将超过所获收益。</w:t>
      </w:r>
    </w:p>
    <w:p>
      <w:pPr>
        <w:topLinePunct/>
        <w:adjustRightInd w:val="0"/>
        <w:snapToGrid w:val="0"/>
        <w:spacing w:line="560" w:lineRule="exact"/>
        <w:ind w:firstLine="640" w:firstLineChars="200"/>
        <w:textAlignment w:val="auto"/>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IASB决定放弃选</w:t>
      </w:r>
      <w:r>
        <w:rPr>
          <w:rFonts w:hint="eastAsia" w:ascii="仿宋" w:hAnsi="仿宋" w:eastAsia="仿宋" w:cs="Times New Roman"/>
          <w:color w:val="000000"/>
          <w:sz w:val="32"/>
          <w:szCs w:val="32"/>
          <w:highlight w:val="none"/>
          <w:lang w:eastAsia="zh-CN"/>
        </w:rPr>
        <w:t>项</w:t>
      </w:r>
      <w:r>
        <w:rPr>
          <w:rFonts w:hint="eastAsia" w:ascii="仿宋" w:hAnsi="仿宋" w:eastAsia="仿宋" w:cs="Times New Roman"/>
          <w:color w:val="000000"/>
          <w:sz w:val="32"/>
          <w:szCs w:val="32"/>
          <w:highlight w:val="none"/>
        </w:rPr>
        <w:t>一后，</w:t>
      </w:r>
      <w:r>
        <w:rPr>
          <w:rFonts w:hint="eastAsia" w:ascii="仿宋" w:hAnsi="仿宋" w:eastAsia="仿宋" w:cs="Times New Roman"/>
          <w:color w:val="000000"/>
          <w:sz w:val="32"/>
          <w:szCs w:val="32"/>
          <w:highlight w:val="none"/>
          <w:lang w:eastAsia="zh-CN"/>
        </w:rPr>
        <w:t>曾</w:t>
      </w:r>
      <w:r>
        <w:rPr>
          <w:rFonts w:hint="eastAsia" w:ascii="仿宋" w:hAnsi="仿宋" w:eastAsia="仿宋" w:cs="Times New Roman"/>
          <w:color w:val="000000"/>
          <w:sz w:val="32"/>
          <w:szCs w:val="32"/>
          <w:highlight w:val="none"/>
        </w:rPr>
        <w:t>考虑是否按照选</w:t>
      </w:r>
      <w:r>
        <w:rPr>
          <w:rFonts w:hint="eastAsia" w:ascii="仿宋" w:hAnsi="仿宋" w:eastAsia="仿宋" w:cs="Times New Roman"/>
          <w:color w:val="000000"/>
          <w:sz w:val="32"/>
          <w:szCs w:val="32"/>
          <w:highlight w:val="none"/>
          <w:lang w:eastAsia="zh-CN"/>
        </w:rPr>
        <w:t>项</w:t>
      </w:r>
      <w:r>
        <w:rPr>
          <w:rFonts w:hint="eastAsia" w:ascii="仿宋" w:hAnsi="仿宋" w:eastAsia="仿宋" w:cs="Times New Roman"/>
          <w:color w:val="000000"/>
          <w:sz w:val="32"/>
          <w:szCs w:val="32"/>
          <w:highlight w:val="none"/>
        </w:rPr>
        <w:t>二推进同控合并项目。IASB最终也放弃选</w:t>
      </w:r>
      <w:r>
        <w:rPr>
          <w:rFonts w:hint="eastAsia" w:ascii="仿宋" w:hAnsi="仿宋" w:eastAsia="仿宋" w:cs="Times New Roman"/>
          <w:color w:val="000000"/>
          <w:sz w:val="32"/>
          <w:szCs w:val="32"/>
          <w:highlight w:val="none"/>
          <w:lang w:eastAsia="zh-CN"/>
        </w:rPr>
        <w:t>项</w:t>
      </w:r>
      <w:r>
        <w:rPr>
          <w:rFonts w:hint="eastAsia" w:ascii="仿宋" w:hAnsi="仿宋" w:eastAsia="仿宋" w:cs="Times New Roman"/>
          <w:color w:val="000000"/>
          <w:sz w:val="32"/>
          <w:szCs w:val="32"/>
          <w:highlight w:val="none"/>
        </w:rPr>
        <w:t>二，理由包括以下三方面：一是国际财务报告会计准则中的一般披露规定（如关联方披露）适用于同控合并；二是选</w:t>
      </w:r>
      <w:r>
        <w:rPr>
          <w:rFonts w:hint="eastAsia" w:ascii="仿宋" w:hAnsi="仿宋" w:eastAsia="仿宋" w:cs="Times New Roman"/>
          <w:color w:val="000000"/>
          <w:sz w:val="32"/>
          <w:szCs w:val="32"/>
          <w:highlight w:val="none"/>
          <w:lang w:eastAsia="zh-CN"/>
        </w:rPr>
        <w:t>项</w:t>
      </w:r>
      <w:r>
        <w:rPr>
          <w:rFonts w:hint="eastAsia" w:ascii="仿宋" w:hAnsi="仿宋" w:eastAsia="仿宋" w:cs="Times New Roman"/>
          <w:color w:val="000000"/>
          <w:sz w:val="32"/>
          <w:szCs w:val="32"/>
          <w:highlight w:val="none"/>
        </w:rPr>
        <w:t>二既不会减少利益相关方的成本，也不会减少同控合并确认和计量的会计实务差异；三是选</w:t>
      </w:r>
      <w:r>
        <w:rPr>
          <w:rFonts w:hint="eastAsia" w:ascii="仿宋" w:hAnsi="仿宋" w:eastAsia="仿宋" w:cs="Times New Roman"/>
          <w:color w:val="000000"/>
          <w:sz w:val="32"/>
          <w:szCs w:val="32"/>
          <w:highlight w:val="none"/>
          <w:lang w:eastAsia="zh-CN"/>
        </w:rPr>
        <w:t>项</w:t>
      </w:r>
      <w:r>
        <w:rPr>
          <w:rFonts w:hint="eastAsia" w:ascii="仿宋" w:hAnsi="仿宋" w:eastAsia="仿宋" w:cs="Times New Roman"/>
          <w:color w:val="000000"/>
          <w:sz w:val="32"/>
          <w:szCs w:val="32"/>
          <w:highlight w:val="none"/>
        </w:rPr>
        <w:t>二所需要的资源将超过所获收益。</w:t>
      </w:r>
    </w:p>
    <w:p>
      <w:pPr>
        <w:topLinePunct/>
        <w:adjustRightInd w:val="0"/>
        <w:snapToGrid w:val="0"/>
        <w:spacing w:line="560" w:lineRule="exact"/>
        <w:ind w:firstLine="640" w:firstLineChars="200"/>
        <w:textAlignment w:val="auto"/>
        <w:rPr>
          <w:rFonts w:hint="eastAsia" w:ascii="仿宋" w:hAnsi="仿宋" w:eastAsia="仿宋" w:cs="Times New Roman"/>
          <w:color w:val="000000"/>
          <w:sz w:val="32"/>
          <w:szCs w:val="32"/>
          <w:highlight w:val="none"/>
        </w:rPr>
      </w:pPr>
      <w:r>
        <w:rPr>
          <w:rFonts w:hint="eastAsia" w:ascii="仿宋" w:hAnsi="仿宋" w:eastAsia="仿宋" w:cs="Times New Roman"/>
          <w:color w:val="000000"/>
          <w:sz w:val="32"/>
          <w:szCs w:val="32"/>
          <w:highlight w:val="none"/>
        </w:rPr>
        <w:t>综上，IASB最终于2023年11月确定选项三，决定终止同控合并项目。</w:t>
      </w:r>
    </w:p>
    <w:p>
      <w:pPr>
        <w:pStyle w:val="14"/>
        <w:spacing w:line="560" w:lineRule="exact"/>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4</w:t>
      </w:r>
      <w:r>
        <w:rPr>
          <w:rFonts w:hint="eastAsia" w:ascii="楷体" w:hAnsi="楷体" w:eastAsia="楷体" w:cs="Times New Roman"/>
          <w:color w:val="000000"/>
          <w:sz w:val="32"/>
          <w:szCs w:val="32"/>
          <w:highlight w:val="none"/>
        </w:rPr>
        <w:t>．IASB发布《国际财务报告准则第19号───非公共受托责任子公司的披露》</w:t>
      </w:r>
    </w:p>
    <w:p>
      <w:pPr>
        <w:keepNext w:val="0"/>
        <w:keepLines w:val="0"/>
        <w:pageBreakBefore w:val="0"/>
        <w:kinsoku/>
        <w:wordWrap/>
        <w:overflowPunct/>
        <w:topLinePunct/>
        <w:bidi w:val="0"/>
        <w:spacing w:line="560" w:lineRule="exact"/>
        <w:ind w:left="0" w:right="0" w:rightChars="0" w:firstLine="640" w:firstLineChars="200"/>
        <w:textAlignment w:val="center"/>
        <w:rPr>
          <w:rFonts w:hint="eastAsia" w:ascii="仿宋" w:hAnsi="仿宋" w:eastAsia="仿宋" w:cs="Times New Roman"/>
          <w:color w:val="000000"/>
          <w:sz w:val="32"/>
          <w:szCs w:val="32"/>
          <w:highlight w:val="none"/>
          <w:lang w:val="en-US" w:eastAsia="zh-CN"/>
        </w:rPr>
      </w:pPr>
      <w:r>
        <w:rPr>
          <w:rFonts w:hint="eastAsia" w:ascii="仿宋" w:hAnsi="仿宋" w:eastAsia="仿宋" w:cs="Times New Roman"/>
          <w:color w:val="000000"/>
          <w:sz w:val="32"/>
          <w:szCs w:val="32"/>
          <w:highlight w:val="none"/>
        </w:rPr>
        <w:t>2024年5月9日，IASB发布《国际财务报告准则第19号───非公共受托责任子公司的披露》（IFRS 19）。</w:t>
      </w:r>
      <w:r>
        <w:rPr>
          <w:rFonts w:hint="eastAsia" w:ascii="仿宋" w:hAnsi="仿宋" w:eastAsia="仿宋" w:cs="Times New Roman"/>
          <w:color w:val="000000"/>
          <w:sz w:val="32"/>
          <w:szCs w:val="32"/>
          <w:highlight w:val="none"/>
          <w:lang w:val="en-US" w:eastAsia="zh-CN"/>
        </w:rPr>
        <w:t>IFRS 19仅为披露准则，规定了满足适用条件的子公司允许采用的简化披露要求，要求该类子公司无须采用其他国际财务报告会计准则的披露要求（除特殊情况外），但应采用其他国际财务报告会计准则的确认、计量和列示要求。</w:t>
      </w:r>
    </w:p>
    <w:p>
      <w:pPr>
        <w:pStyle w:val="14"/>
        <w:spacing w:line="560" w:lineRule="exact"/>
        <w:ind w:firstLine="640"/>
        <w:outlineLvl w:val="2"/>
        <w:rPr>
          <w:rFonts w:hint="eastAsia" w:ascii="楷体" w:hAnsi="楷体" w:eastAsia="楷体" w:cs="Times New Roman"/>
          <w:color w:val="000000"/>
          <w:sz w:val="32"/>
          <w:szCs w:val="32"/>
          <w:highlight w:val="none"/>
        </w:rPr>
      </w:pPr>
      <w:r>
        <w:rPr>
          <w:rFonts w:hint="eastAsia" w:ascii="楷体" w:hAnsi="楷体" w:eastAsia="楷体" w:cs="Times New Roman"/>
          <w:color w:val="000000"/>
          <w:sz w:val="32"/>
          <w:szCs w:val="32"/>
          <w:highlight w:val="none"/>
          <w:lang w:val="en-US" w:eastAsia="zh-CN"/>
        </w:rPr>
        <w:t>5</w:t>
      </w:r>
      <w:r>
        <w:rPr>
          <w:rFonts w:hint="eastAsia" w:ascii="楷体" w:hAnsi="楷体" w:eastAsia="楷体" w:cs="Times New Roman"/>
          <w:color w:val="000000"/>
          <w:sz w:val="32"/>
          <w:szCs w:val="32"/>
          <w:highlight w:val="none"/>
        </w:rPr>
        <w:t>．IASB发布对金融工具的分类和计量要求的小范围修订</w:t>
      </w:r>
    </w:p>
    <w:p>
      <w:pPr>
        <w:topLinePunct/>
        <w:adjustRightInd w:val="0"/>
        <w:snapToGrid w:val="0"/>
        <w:spacing w:line="560" w:lineRule="exact"/>
        <w:ind w:firstLine="640" w:firstLineChars="200"/>
        <w:outlineLvl w:val="9"/>
        <w:rPr>
          <w:rFonts w:hint="eastAsia"/>
          <w:highlight w:val="none"/>
          <w:lang w:val="en-US" w:eastAsia="zh-CN"/>
        </w:rPr>
      </w:pPr>
      <w:r>
        <w:rPr>
          <w:rFonts w:hint="eastAsia" w:ascii="仿宋" w:hAnsi="仿宋" w:eastAsia="仿宋" w:cs="Times New Roman"/>
          <w:color w:val="000000"/>
          <w:sz w:val="32"/>
          <w:szCs w:val="32"/>
          <w:highlight w:val="none"/>
          <w:lang w:val="en-US" w:eastAsia="zh-CN"/>
        </w:rPr>
        <w:t>2024年</w:t>
      </w:r>
      <w:r>
        <w:rPr>
          <w:rFonts w:hint="eastAsia" w:ascii="仿宋" w:hAnsi="仿宋" w:eastAsia="仿宋" w:cs="Times New Roman"/>
          <w:color w:val="000000"/>
          <w:sz w:val="32"/>
          <w:szCs w:val="32"/>
          <w:highlight w:val="none"/>
        </w:rPr>
        <w:t>5月30日，IASB发布对《国际财务报告准则第9号───金融工具》（IFRS</w:t>
      </w:r>
      <w:r>
        <w:rPr>
          <w:rFonts w:hint="eastAsia" w:ascii="仿宋" w:hAnsi="仿宋" w:eastAsia="仿宋" w:cs="Times New Roman"/>
          <w:color w:val="000000"/>
          <w:sz w:val="32"/>
          <w:szCs w:val="32"/>
          <w:highlight w:val="none"/>
          <w:lang w:val="en-US" w:eastAsia="zh-CN"/>
        </w:rPr>
        <w:t xml:space="preserve"> </w:t>
      </w:r>
      <w:r>
        <w:rPr>
          <w:rFonts w:hint="eastAsia" w:ascii="仿宋" w:hAnsi="仿宋" w:eastAsia="仿宋" w:cs="Times New Roman"/>
          <w:color w:val="000000"/>
          <w:sz w:val="32"/>
          <w:szCs w:val="32"/>
          <w:highlight w:val="none"/>
        </w:rPr>
        <w:t>9）及《国际财务报告准则第7号───金融工具：披露》（IFRS</w:t>
      </w:r>
      <w:r>
        <w:rPr>
          <w:rFonts w:hint="eastAsia" w:ascii="仿宋" w:hAnsi="仿宋" w:eastAsia="仿宋" w:cs="Times New Roman"/>
          <w:color w:val="000000"/>
          <w:sz w:val="32"/>
          <w:szCs w:val="32"/>
          <w:highlight w:val="none"/>
          <w:lang w:val="en-US" w:eastAsia="zh-CN"/>
        </w:rPr>
        <w:t xml:space="preserve"> </w:t>
      </w:r>
      <w:r>
        <w:rPr>
          <w:rFonts w:hint="eastAsia" w:ascii="仿宋" w:hAnsi="仿宋" w:eastAsia="仿宋" w:cs="Times New Roman"/>
          <w:color w:val="000000"/>
          <w:sz w:val="32"/>
          <w:szCs w:val="32"/>
          <w:highlight w:val="none"/>
        </w:rPr>
        <w:t>7）的小范围修订</w:t>
      </w:r>
      <w:r>
        <w:rPr>
          <w:rFonts w:hint="eastAsia" w:ascii="仿宋" w:hAnsi="仿宋" w:eastAsia="仿宋" w:cs="Times New Roman"/>
          <w:color w:val="000000"/>
          <w:sz w:val="32"/>
          <w:szCs w:val="32"/>
          <w:highlight w:val="none"/>
          <w:lang w:eastAsia="zh-CN"/>
        </w:rPr>
        <w:t>，</w:t>
      </w:r>
      <w:r>
        <w:rPr>
          <w:rFonts w:hint="eastAsia" w:ascii="仿宋" w:hAnsi="仿宋" w:eastAsia="仿宋" w:cs="Times New Roman"/>
          <w:color w:val="000000"/>
          <w:sz w:val="32"/>
          <w:szCs w:val="32"/>
          <w:highlight w:val="none"/>
          <w:lang w:val="en-US" w:eastAsia="zh-CN"/>
        </w:rPr>
        <w:t>对采用电子支付系统结算的金融负债的终止确认、金融资产的分类及相关信息披露予以明确</w:t>
      </w:r>
      <w:r>
        <w:rPr>
          <w:rFonts w:hint="eastAsia" w:ascii="仿宋" w:hAnsi="仿宋" w:eastAsia="仿宋" w:cs="Times New Roman"/>
          <w:color w:val="000000"/>
          <w:sz w:val="32"/>
          <w:szCs w:val="32"/>
          <w:highlight w:val="none"/>
        </w:rPr>
        <w:t>。</w:t>
      </w:r>
    </w:p>
    <w:p>
      <w:pPr>
        <w:pStyle w:val="14"/>
        <w:spacing w:line="560" w:lineRule="exact"/>
        <w:rPr>
          <w:highlight w:val="none"/>
        </w:rPr>
        <w:sectPr>
          <w:footerReference r:id="rId9" w:type="default"/>
          <w:headerReference r:id="rId8" w:type="even"/>
          <w:footerReference r:id="rId10" w:type="even"/>
          <w:pgSz w:w="11906" w:h="16157"/>
          <w:pgMar w:top="1440" w:right="1800" w:bottom="1440" w:left="1800" w:header="850" w:footer="1077" w:gutter="0"/>
          <w:pgNumType w:start="1"/>
          <w:cols w:space="0" w:num="1"/>
          <w:docGrid w:type="lines" w:linePitch="316" w:charSpace="0"/>
        </w:sectPr>
      </w:pPr>
    </w:p>
    <w:p>
      <w:pPr>
        <w:topLinePunct/>
        <w:spacing w:line="560" w:lineRule="exact"/>
        <w:textAlignment w:val="center"/>
        <w:rPr>
          <w:rFonts w:ascii="Times New Roman" w:hAnsi="Times New Roman" w:eastAsia="楷体" w:cs="Times New Roman"/>
          <w:color w:val="000000"/>
          <w:sz w:val="32"/>
          <w:szCs w:val="32"/>
          <w:highlight w:val="none"/>
        </w:rPr>
      </w:pPr>
      <w:r>
        <w:rPr>
          <w:rFonts w:ascii="Times New Roman" w:hAnsi="Times New Roman" w:eastAsia="楷体" w:cs="Times New Roman"/>
          <w:color w:val="000000"/>
          <w:sz w:val="32"/>
          <w:szCs w:val="32"/>
          <w:highlight w:val="none"/>
        </w:rPr>
        <w:drawing>
          <wp:anchor distT="0" distB="0" distL="114300" distR="114300" simplePos="0" relativeHeight="251669504" behindDoc="0" locked="0" layoutInCell="1" allowOverlap="1">
            <wp:simplePos x="0" y="0"/>
            <wp:positionH relativeFrom="column">
              <wp:posOffset>-377825</wp:posOffset>
            </wp:positionH>
            <wp:positionV relativeFrom="paragraph">
              <wp:posOffset>6337300</wp:posOffset>
            </wp:positionV>
            <wp:extent cx="904875" cy="904875"/>
            <wp:effectExtent l="0" t="0" r="9525" b="9525"/>
            <wp:wrapNone/>
            <wp:docPr id="29" name="图片 29" descr="d:\Users\panzhang\Desktop\a876237d3f49d38805ca4f787b663ec.pnga876237d3f49d38805ca4f787b66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Users\panzhang\Desktop\a876237d3f49d38805ca4f787b663ec.pnga876237d3f49d38805ca4f787b663ec"/>
                    <pic:cNvPicPr>
                      <a:picLocks noChangeAspect="1"/>
                    </pic:cNvPicPr>
                  </pic:nvPicPr>
                  <pic:blipFill>
                    <a:blip r:embed="rId17">
                      <a:duotone>
                        <a:schemeClr val="accent1">
                          <a:shade val="45000"/>
                          <a:satMod val="135000"/>
                        </a:schemeClr>
                        <a:prstClr val="white"/>
                      </a:duotone>
                    </a:blip>
                    <a:srcRect/>
                    <a:stretch>
                      <a:fillRect/>
                    </a:stretch>
                  </pic:blipFill>
                  <pic:spPr>
                    <a:xfrm>
                      <a:off x="0" y="0"/>
                      <a:ext cx="904875" cy="904875"/>
                    </a:xfrm>
                    <a:prstGeom prst="rect">
                      <a:avLst/>
                    </a:prstGeom>
                    <a:ln>
                      <a:noFill/>
                    </a:ln>
                  </pic:spPr>
                </pic:pic>
              </a:graphicData>
            </a:graphic>
          </wp:anchor>
        </w:drawing>
      </w:r>
      <w:r>
        <w:rPr>
          <w:rFonts w:ascii="Times New Roman" w:hAnsi="Times New Roman" w:eastAsia="楷体" w:cs="Times New Roman"/>
          <w:color w:val="000000"/>
          <w:sz w:val="32"/>
          <w:szCs w:val="32"/>
          <w:highlight w:val="none"/>
        </w:rPr>
        <mc:AlternateContent>
          <mc:Choice Requires="wps">
            <w:drawing>
              <wp:anchor distT="0" distB="0" distL="114300" distR="114300" simplePos="0" relativeHeight="251670528" behindDoc="0" locked="0" layoutInCell="1" allowOverlap="1">
                <wp:simplePos x="0" y="0"/>
                <wp:positionH relativeFrom="column">
                  <wp:posOffset>-1575435</wp:posOffset>
                </wp:positionH>
                <wp:positionV relativeFrom="paragraph">
                  <wp:posOffset>7363460</wp:posOffset>
                </wp:positionV>
                <wp:extent cx="3301365" cy="937895"/>
                <wp:effectExtent l="0" t="0" r="0" b="0"/>
                <wp:wrapNone/>
                <wp:docPr id="30" name="矩形 30"/>
                <wp:cNvGraphicFramePr/>
                <a:graphic xmlns:a="http://schemas.openxmlformats.org/drawingml/2006/main">
                  <a:graphicData uri="http://schemas.microsoft.com/office/word/2010/wordprocessingShape">
                    <wps:wsp>
                      <wps:cNvSpPr/>
                      <wps:spPr>
                        <a:xfrm>
                          <a:off x="0" y="0"/>
                          <a:ext cx="3301365" cy="937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05pt;margin-top:579.8pt;height:73.85pt;width:259.95pt;z-index:251670528;v-text-anchor:middle;mso-width-relative:page;mso-height-relative:page;" filled="f" stroked="f" coordsize="21600,21600" o:gfxdata="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c0VuNsAAAAOAQAADwAAAAAAAAABACAAAAAiAAAAZHJzL2Rvd25yZXYueG1sUEsBAhQA&#10;FAAAAAgAh07iQCvUflFhAgAArwQAAA4AAAAAAAAAAQAgAAAAKgEAAGRycy9lMm9Eb2MueG1sUEsF&#10;BgAAAAAGAAYAWQEAAP0FAAAAAA==&#10;">
                <v:fill on="f" focussize="0,0"/>
                <v:stroke on="f" weight="1pt" miterlimit="8" joinstyle="miter"/>
                <v:imagedata o:title=""/>
                <o:lock v:ext="edit" aspectratio="f"/>
                <v:textbox>
                  <w:txbxContent>
                    <w:p>
                      <w:pPr>
                        <w:spacing w:line="560" w:lineRule="exact"/>
                        <w:jc w:val="center"/>
                        <w:rPr>
                          <w:rFonts w:ascii="黑体" w:hAnsi="黑体" w:eastAsia="黑体"/>
                          <w:sz w:val="28"/>
                          <w:szCs w:val="28"/>
                        </w:rPr>
                      </w:pPr>
                      <w:r>
                        <w:rPr>
                          <w:rFonts w:hint="eastAsia" w:ascii="黑体" w:hAnsi="黑体" w:eastAsia="黑体"/>
                          <w:sz w:val="28"/>
                          <w:szCs w:val="28"/>
                        </w:rPr>
                        <w:t>如有任何意见建议</w:t>
                      </w:r>
                    </w:p>
                    <w:p>
                      <w:pPr>
                        <w:spacing w:line="560" w:lineRule="exact"/>
                        <w:jc w:val="center"/>
                        <w:rPr>
                          <w:rFonts w:ascii="黑体" w:hAnsi="黑体" w:eastAsia="黑体"/>
                          <w:sz w:val="28"/>
                          <w:szCs w:val="28"/>
                        </w:rPr>
                      </w:pPr>
                      <w:r>
                        <w:rPr>
                          <w:rFonts w:hint="eastAsia" w:ascii="黑体" w:hAnsi="黑体" w:eastAsia="黑体"/>
                          <w:sz w:val="28"/>
                          <w:szCs w:val="28"/>
                        </w:rPr>
                        <w:t>欢迎扫码反馈</w:t>
                      </w:r>
                    </w:p>
                    <w:p/>
                  </w:txbxContent>
                </v:textbox>
              </v:rect>
            </w:pict>
          </mc:Fallback>
        </mc:AlternateContent>
      </w:r>
      <w:r>
        <w:rPr>
          <w:rFonts w:ascii="Times New Roman" w:hAnsi="Times New Roman" w:eastAsia="楷体" w:cs="Times New Roman"/>
          <w:color w:val="000000"/>
          <w:sz w:val="32"/>
          <w:szCs w:val="32"/>
          <w:highlight w:val="none"/>
        </w:rPr>
        <w:drawing>
          <wp:anchor distT="0" distB="0" distL="114300" distR="114300" simplePos="0" relativeHeight="251668480" behindDoc="0" locked="0" layoutInCell="1" allowOverlap="1">
            <wp:simplePos x="0" y="0"/>
            <wp:positionH relativeFrom="column">
              <wp:posOffset>-1302385</wp:posOffset>
            </wp:positionH>
            <wp:positionV relativeFrom="paragraph">
              <wp:posOffset>-946150</wp:posOffset>
            </wp:positionV>
            <wp:extent cx="7772400" cy="10462260"/>
            <wp:effectExtent l="0" t="0" r="0" b="0"/>
            <wp:wrapNone/>
            <wp:docPr id="16" name="图片 16" descr="D:\黄\2021\深交所\2022.3.10 会计监管动态\蓝色商务宣传画册封面.jpg蓝色商务宣传画册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黄\2021\深交所\2022.3.10 会计监管动态\蓝色商务宣传画册封面.jpg蓝色商务宣传画册封面"/>
                    <pic:cNvPicPr>
                      <a:picLocks noChangeAspect="1"/>
                    </pic:cNvPicPr>
                  </pic:nvPicPr>
                  <pic:blipFill>
                    <a:blip r:embed="rId18"/>
                    <a:srcRect r="50239"/>
                    <a:stretch>
                      <a:fillRect/>
                    </a:stretch>
                  </pic:blipFill>
                  <pic:spPr>
                    <a:xfrm>
                      <a:off x="0" y="0"/>
                      <a:ext cx="7772400" cy="10462068"/>
                    </a:xfrm>
                    <a:prstGeom prst="rect">
                      <a:avLst/>
                    </a:prstGeom>
                  </pic:spPr>
                </pic:pic>
              </a:graphicData>
            </a:graphic>
          </wp:anchor>
        </w:drawing>
      </w:r>
    </w:p>
    <w:sectPr>
      <w:headerReference r:id="rId11" w:type="default"/>
      <w:pgSz w:w="11906" w:h="16157"/>
      <w:pgMar w:top="1440" w:right="1800" w:bottom="1440" w:left="1800" w:header="850" w:footer="1077" w:gutter="0"/>
      <w:pgNumType w:start="1"/>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Noto Sans Mono CJK JP Bold">
    <w:altName w:val="Arial"/>
    <w:panose1 w:val="00000000000000000000"/>
    <w:charset w:val="00"/>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方正黑体简体">
    <w:panose1 w:val="02000000000000000000"/>
    <w:charset w:val="86"/>
    <w:family w:val="auto"/>
    <w:pitch w:val="default"/>
    <w:sig w:usb0="00000001" w:usb1="08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8"/>
                              <w:szCs w:val="28"/>
                            </w:rPr>
                          </w:pPr>
                          <w:r>
                            <w:rPr>
                              <w:rFonts w:hint="eastAsia"/>
                              <w:sz w:val="28"/>
                              <w:szCs w:val="28"/>
                            </w:rPr>
                            <w:t xml:space="preserve">— </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r>
                            <w:rPr>
                              <w:rFonts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9"/>
                      <w:rPr>
                        <w:sz w:val="28"/>
                        <w:szCs w:val="28"/>
                      </w:rPr>
                    </w:pPr>
                    <w:r>
                      <w:rPr>
                        <w:rFonts w:hint="eastAsia"/>
                        <w:sz w:val="28"/>
                        <w:szCs w:val="28"/>
                      </w:rPr>
                      <w:t xml:space="preserve">— </w:t>
                    </w: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r>
                      <w:rPr>
                        <w:rFonts w:hint="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posOffset>4652010</wp:posOffset>
              </wp:positionH>
              <wp:positionV relativeFrom="paragraph">
                <wp:posOffset>15240</wp:posOffset>
              </wp:positionV>
              <wp:extent cx="1828800" cy="1828800"/>
              <wp:effectExtent l="0" t="0" r="0" b="10795"/>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6.3pt;margin-top:1.2pt;height:144pt;width:144pt;mso-position-horizontal-relative:margin;mso-wrap-style:none;z-index:251660288;mso-width-relative:page;mso-height-relative:page;" filled="f" stroked="f" coordsize="21600,21600" o:gfxdata="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vAM7NYAAAAKAQAADwAAAAAAAAABACAAAAAiAAAAZHJzL2Rvd25yZXYueG1sUEsBAhQAFAAA&#10;AAgAh07iQMrd1wwqAgAAVwQAAA4AAAAAAAAAAQAgAAAAJQEAAGRycy9lMm9Eb2MueG1sUEsFBgAA&#10;AAAGAAYAWQEAAMEFAAAAAA==&#10;">
              <v:fill on="f" focussize="0,0"/>
              <v:stroke on="f" weight="0.5pt"/>
              <v:imagedata o:title=""/>
              <o:lock v:ext="edit" aspectratio="f"/>
              <v:textbox inset="0mm,0mm,0mm,0mm" style="mso-fit-shape-to-text:t;">
                <w:txbxContent>
                  <w:p>
                    <w:pPr>
                      <w:pStyle w:val="9"/>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5408" behindDoc="0" locked="0" layoutInCell="1" allowOverlap="1">
              <wp:simplePos x="0" y="0"/>
              <wp:positionH relativeFrom="margin">
                <wp:posOffset>11430</wp:posOffset>
              </wp:positionH>
              <wp:positionV relativeFrom="paragraph">
                <wp:posOffset>0</wp:posOffset>
              </wp:positionV>
              <wp:extent cx="1828800" cy="1828800"/>
              <wp:effectExtent l="0" t="0" r="0" b="10795"/>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9pt;margin-top:0pt;height:144pt;width:144pt;mso-position-horizontal-relative:margin;mso-wrap-style:none;z-index:251665408;mso-width-relative:page;mso-height-relative:page;" filled="f" stroked="f" coordsize="21600,21600" o:gfxdata="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vBCZ0QAAAAYBAAAPAAAAAAAAAAEAIAAAACIAAABkcnMvZG93bnJldi54bWxQSwECFAAUAAAACACH&#10;TuJAYpCETCsCAABXBAAADgAAAAAAAAABACAAAAAgAQAAZHJzL2Uyb0RvYy54bWxQSwUGAAAAAAYA&#10;BgBZAQAAvQUAAAAA&#10;">
              <v:fill on="f" focussize="0,0"/>
              <v:stroke on="f" weight="0.5pt"/>
              <v:imagedata o:title=""/>
              <o:lock v:ext="edit" aspectratio="f"/>
              <v:textbox inset="0mm,0mm,0mm,0mm" style="mso-fit-shape-to-text:t;">
                <w:txbxContent>
                  <w:p>
                    <w:pPr>
                      <w:pStyle w:val="9"/>
                      <w:jc w:val="both"/>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hint="eastAsia" w:ascii="Times New Roman" w:hAnsi="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ascii="黑体" w:hAnsi="黑体" w:eastAsia="黑体" w:cs="黑体"/>
        <w:sz w:val="28"/>
        <w:szCs w:val="44"/>
      </w:rPr>
    </w:pPr>
    <w:r>
      <w:rPr>
        <w:rFonts w:hint="eastAsia" w:ascii="黑体" w:hAnsi="黑体" w:eastAsia="黑体" w:cs="黑体"/>
        <w:sz w:val="24"/>
        <w:szCs w:val="44"/>
      </w:rPr>
      <w:t>深圳证券交易所会计监管动态  202</w:t>
    </w:r>
    <w:r>
      <w:rPr>
        <w:rFonts w:hint="eastAsia" w:ascii="黑体" w:hAnsi="黑体" w:eastAsia="黑体" w:cs="黑体"/>
        <w:sz w:val="24"/>
        <w:szCs w:val="44"/>
        <w:lang w:val="en-US" w:eastAsia="zh-CN"/>
      </w:rPr>
      <w:t>4</w:t>
    </w:r>
    <w:r>
      <w:rPr>
        <w:rFonts w:hint="eastAsia" w:ascii="黑体" w:hAnsi="黑体" w:eastAsia="黑体" w:cs="黑体"/>
        <w:sz w:val="24"/>
        <w:szCs w:val="44"/>
      </w:rPr>
      <w:t>年第</w:t>
    </w:r>
    <w:r>
      <w:rPr>
        <w:rFonts w:hint="default" w:ascii="黑体" w:hAnsi="黑体" w:eastAsia="黑体" w:cs="黑体"/>
        <w:sz w:val="24"/>
        <w:szCs w:val="44"/>
        <w:lang w:val="en-US" w:eastAsia="zh-CN"/>
      </w:rPr>
      <w:t>2</w:t>
    </w:r>
    <w:r>
      <w:rPr>
        <w:rFonts w:hint="eastAsia" w:ascii="黑体" w:hAnsi="黑体" w:eastAsia="黑体" w:cs="黑体"/>
        <w:sz w:val="24"/>
        <w:szCs w:val="44"/>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mc:AlternateContent>
        <mc:Choice Requires="wpg">
          <w:drawing>
            <wp:anchor distT="0" distB="0" distL="114300" distR="114300" simplePos="0" relativeHeight="251663360" behindDoc="1" locked="0" layoutInCell="1" allowOverlap="1">
              <wp:simplePos x="0" y="0"/>
              <wp:positionH relativeFrom="page">
                <wp:posOffset>6355080</wp:posOffset>
              </wp:positionH>
              <wp:positionV relativeFrom="page">
                <wp:posOffset>391795</wp:posOffset>
              </wp:positionV>
              <wp:extent cx="304800" cy="346075"/>
              <wp:effectExtent l="0" t="0" r="0" b="0"/>
              <wp:wrapNone/>
              <wp:docPr id="20" name="组合 20"/>
              <wp:cNvGraphicFramePr/>
              <a:graphic xmlns:a="http://schemas.openxmlformats.org/drawingml/2006/main">
                <a:graphicData uri="http://schemas.microsoft.com/office/word/2010/wordprocessingGroup">
                  <wpg:wgp>
                    <wpg:cNvGrpSpPr/>
                    <wpg:grpSpPr>
                      <a:xfrm>
                        <a:off x="0" y="0"/>
                        <a:ext cx="304800" cy="346075"/>
                        <a:chOff x="10824" y="1020"/>
                        <a:chExt cx="281" cy="377"/>
                      </a:xfrm>
                    </wpg:grpSpPr>
                    <pic:pic xmlns:pic="http://schemas.openxmlformats.org/drawingml/2006/picture">
                      <pic:nvPicPr>
                        <pic:cNvPr id="2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10842" y="1020"/>
                          <a:ext cx="129" cy="268"/>
                        </a:xfrm>
                        <a:prstGeom prst="rect">
                          <a:avLst/>
                        </a:prstGeom>
                        <a:noFill/>
                        <a:ln>
                          <a:noFill/>
                        </a:ln>
                      </pic:spPr>
                    </pic:pic>
                    <pic:pic xmlns:pic="http://schemas.openxmlformats.org/drawingml/2006/picture">
                      <pic:nvPicPr>
                        <pic:cNvPr id="22"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10824" y="1020"/>
                          <a:ext cx="142" cy="268"/>
                        </a:xfrm>
                        <a:prstGeom prst="rect">
                          <a:avLst/>
                        </a:prstGeom>
                        <a:noFill/>
                        <a:ln>
                          <a:noFill/>
                        </a:ln>
                      </pic:spPr>
                    </pic:pic>
                    <pic:pic xmlns:pic="http://schemas.openxmlformats.org/drawingml/2006/picture">
                      <pic:nvPicPr>
                        <pic:cNvPr id="23"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10844" y="1058"/>
                          <a:ext cx="261" cy="339"/>
                        </a:xfrm>
                        <a:prstGeom prst="rect">
                          <a:avLst/>
                        </a:prstGeom>
                        <a:noFill/>
                        <a:ln>
                          <a:noFill/>
                        </a:ln>
                      </pic:spPr>
                    </pic:pic>
                    <pic:pic xmlns:pic="http://schemas.openxmlformats.org/drawingml/2006/picture">
                      <pic:nvPicPr>
                        <pic:cNvPr id="24"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10844" y="1177"/>
                          <a:ext cx="129" cy="220"/>
                        </a:xfrm>
                        <a:prstGeom prst="rect">
                          <a:avLst/>
                        </a:prstGeom>
                        <a:noFill/>
                        <a:ln>
                          <a:noFill/>
                        </a:ln>
                      </pic:spPr>
                    </pic:pic>
                  </wpg:wgp>
                </a:graphicData>
              </a:graphic>
            </wp:anchor>
          </w:drawing>
        </mc:Choice>
        <mc:Fallback>
          <w:pict>
            <v:group id="_x0000_s1026" o:spid="_x0000_s1026" o:spt="203" style="position:absolute;left:0pt;margin-left:500.4pt;margin-top:30.85pt;height:27.25pt;width:24pt;mso-position-horizontal-relative:page;mso-position-vertical-relative:page;z-index:-251653120;mso-width-relative:page;mso-height-relative:page;" coordorigin="10824,1020" coordsize="281,377" o:gfxdata="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">
              <o:lock v:ext="edit" aspectratio="f"/>
              <v:shape id="Picture 4" o:spid="_x0000_s1026" o:spt="75" type="#_x0000_t75" style="position:absolute;left:10842;top:1020;height:268;width:129;" filled="f" o:preferrelative="t" stroked="f" coordsize="21600,21600" o:gfxdata="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B8u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Picture 5" o:spid="_x0000_s1026" o:spt="75" type="#_x0000_t75" style="position:absolute;left:10824;top:1020;height:268;width:142;" filled="f" o:preferrelative="t" stroked="f" coordsize="21600,21600" o:gfxdata="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uxVr4A&#10;AADbAAAADwAAAAAAAAABACAAAAAiAAAAZHJzL2Rvd25yZXYueG1sUEsBAhQAFAAAAAgAh07iQDMv&#10;BZ47AAAAOQAAABAAAAAAAAAAAQAgAAAADQEAAGRycy9zaGFwZXhtbC54bWxQSwUGAAAAAAYABgBb&#10;AQAAtwMAAAAA&#10;">
                <v:fill on="f" focussize="0,0"/>
                <v:stroke on="f"/>
                <v:imagedata r:id="rId2" o:title=""/>
                <o:lock v:ext="edit" aspectratio="t"/>
              </v:shape>
              <v:shape id="Picture 6" o:spid="_x0000_s1026" o:spt="75" type="#_x0000_t75" style="position:absolute;left:10844;top:1058;height:339;width:261;" filled="f" o:preferrelative="t" stroked="f" coordsize="21600,21600" o:gfxdata="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x0X74A&#10;AADbAAAADwAAAAAAAAABACAAAAAiAAAAZHJzL2Rvd25yZXYueG1sUEsBAhQAFAAAAAgAh07iQDMv&#10;BZ47AAAAOQAAABAAAAAAAAAAAQAgAAAADQEAAGRycy9zaGFwZXhtbC54bWxQSwUGAAAAAAYABgBb&#10;AQAAtwMAAAAA&#10;">
                <v:fill on="f" focussize="0,0"/>
                <v:stroke on="f"/>
                <v:imagedata r:id="rId3" o:title=""/>
                <o:lock v:ext="edit" aspectratio="t"/>
              </v:shape>
              <v:shape id="Picture 7" o:spid="_x0000_s1026" o:spt="75" type="#_x0000_t75" style="position:absolute;left:10844;top:1177;height:220;width:129;" filled="f" o:preferrelative="t" stroked="f" coordsize="21600,21600" o:gfxdata="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ZTlb4A&#10;AADbAAAADwAAAAAAAAABACAAAAAiAAAAZHJzL2Rvd25yZXYueG1sUEsBAhQAFAAAAAgAh07iQDMv&#10;BZ47AAAAOQAAABAAAAAAAAAAAQAgAAAADQEAAGRycy9zaGFwZXhtbC54bWxQSwUGAAAAAAYABgBb&#10;AQAAtwMAAAAA&#10;">
                <v:fill on="f" focussize="0,0"/>
                <v:stroke on="f"/>
                <v:imagedata r:id="rId4" o:title=""/>
                <o:lock v:ext="edit" aspectratio="t"/>
              </v:shape>
            </v:group>
          </w:pict>
        </mc:Fallback>
      </mc:AlternateContent>
    </w:r>
    <w:r>
      <w:drawing>
        <wp:anchor distT="0" distB="0" distL="0" distR="0" simplePos="0" relativeHeight="251662336" behindDoc="1" locked="0" layoutInCell="1" allowOverlap="1">
          <wp:simplePos x="0" y="0"/>
          <wp:positionH relativeFrom="page">
            <wp:posOffset>5482590</wp:posOffset>
          </wp:positionH>
          <wp:positionV relativeFrom="page">
            <wp:posOffset>556260</wp:posOffset>
          </wp:positionV>
          <wp:extent cx="822960" cy="311150"/>
          <wp:effectExtent l="0" t="0" r="0" b="0"/>
          <wp:wrapNone/>
          <wp:docPr id="12"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0.png"/>
                  <pic:cNvPicPr>
                    <a:picLocks noChangeAspect="1"/>
                  </pic:cNvPicPr>
                </pic:nvPicPr>
                <pic:blipFill>
                  <a:blip r:embed="rId5" cstate="print"/>
                  <a:stretch>
                    <a:fillRect/>
                  </a:stretch>
                </pic:blipFill>
                <pic:spPr>
                  <a:xfrm>
                    <a:off x="0" y="0"/>
                    <a:ext cx="822960" cy="31115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rPr>
        <w:rFonts w:ascii="黑体" w:hAnsi="黑体" w:eastAsia="黑体" w:cs="黑体"/>
        <w:sz w:val="28"/>
        <w:szCs w:val="4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evenAndOddHeaders w:val="1"/>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873B19"/>
    <w:rsid w:val="00000195"/>
    <w:rsid w:val="000010E4"/>
    <w:rsid w:val="000015DC"/>
    <w:rsid w:val="000031B8"/>
    <w:rsid w:val="00006751"/>
    <w:rsid w:val="00007289"/>
    <w:rsid w:val="000077B4"/>
    <w:rsid w:val="00012619"/>
    <w:rsid w:val="000139BA"/>
    <w:rsid w:val="00015143"/>
    <w:rsid w:val="000155B7"/>
    <w:rsid w:val="00020DE7"/>
    <w:rsid w:val="0002533D"/>
    <w:rsid w:val="000257B9"/>
    <w:rsid w:val="00026112"/>
    <w:rsid w:val="00026E41"/>
    <w:rsid w:val="000344CF"/>
    <w:rsid w:val="00034D49"/>
    <w:rsid w:val="000364FA"/>
    <w:rsid w:val="000371F3"/>
    <w:rsid w:val="00037667"/>
    <w:rsid w:val="00040694"/>
    <w:rsid w:val="00047622"/>
    <w:rsid w:val="00047807"/>
    <w:rsid w:val="00047A07"/>
    <w:rsid w:val="0005151C"/>
    <w:rsid w:val="00052E31"/>
    <w:rsid w:val="00054E93"/>
    <w:rsid w:val="000578D4"/>
    <w:rsid w:val="00062007"/>
    <w:rsid w:val="00062244"/>
    <w:rsid w:val="00066D35"/>
    <w:rsid w:val="00066E81"/>
    <w:rsid w:val="00067EC6"/>
    <w:rsid w:val="00071662"/>
    <w:rsid w:val="00072DDA"/>
    <w:rsid w:val="00073124"/>
    <w:rsid w:val="00075A68"/>
    <w:rsid w:val="000764DE"/>
    <w:rsid w:val="00077603"/>
    <w:rsid w:val="000804E3"/>
    <w:rsid w:val="00080977"/>
    <w:rsid w:val="00080EC7"/>
    <w:rsid w:val="00083C23"/>
    <w:rsid w:val="00090E6F"/>
    <w:rsid w:val="00094644"/>
    <w:rsid w:val="000949DE"/>
    <w:rsid w:val="00096211"/>
    <w:rsid w:val="0009649A"/>
    <w:rsid w:val="000971FB"/>
    <w:rsid w:val="000A0533"/>
    <w:rsid w:val="000A089B"/>
    <w:rsid w:val="000A0ECF"/>
    <w:rsid w:val="000A36A1"/>
    <w:rsid w:val="000A4D11"/>
    <w:rsid w:val="000A61D6"/>
    <w:rsid w:val="000A64D9"/>
    <w:rsid w:val="000A7439"/>
    <w:rsid w:val="000B03E6"/>
    <w:rsid w:val="000B08B1"/>
    <w:rsid w:val="000B13BB"/>
    <w:rsid w:val="000B207A"/>
    <w:rsid w:val="000B2F72"/>
    <w:rsid w:val="000B4698"/>
    <w:rsid w:val="000B770F"/>
    <w:rsid w:val="000C02B5"/>
    <w:rsid w:val="000C2025"/>
    <w:rsid w:val="000C214A"/>
    <w:rsid w:val="000C37FB"/>
    <w:rsid w:val="000C618A"/>
    <w:rsid w:val="000E0EA3"/>
    <w:rsid w:val="000E3F6A"/>
    <w:rsid w:val="000E4F70"/>
    <w:rsid w:val="000E6806"/>
    <w:rsid w:val="000E7E2D"/>
    <w:rsid w:val="000F5378"/>
    <w:rsid w:val="000F670B"/>
    <w:rsid w:val="000F724C"/>
    <w:rsid w:val="000F733C"/>
    <w:rsid w:val="00100AC0"/>
    <w:rsid w:val="001049A0"/>
    <w:rsid w:val="001142F4"/>
    <w:rsid w:val="00117E42"/>
    <w:rsid w:val="00117F36"/>
    <w:rsid w:val="00121056"/>
    <w:rsid w:val="00121F87"/>
    <w:rsid w:val="001250D8"/>
    <w:rsid w:val="00127A67"/>
    <w:rsid w:val="001310E7"/>
    <w:rsid w:val="00131186"/>
    <w:rsid w:val="00132878"/>
    <w:rsid w:val="00137CC0"/>
    <w:rsid w:val="001413AC"/>
    <w:rsid w:val="00141414"/>
    <w:rsid w:val="00142808"/>
    <w:rsid w:val="00142BF9"/>
    <w:rsid w:val="00144B3D"/>
    <w:rsid w:val="0015395D"/>
    <w:rsid w:val="00155034"/>
    <w:rsid w:val="00160593"/>
    <w:rsid w:val="00160B66"/>
    <w:rsid w:val="00162416"/>
    <w:rsid w:val="00162714"/>
    <w:rsid w:val="00163513"/>
    <w:rsid w:val="0016396C"/>
    <w:rsid w:val="001648C3"/>
    <w:rsid w:val="00164C4C"/>
    <w:rsid w:val="00166F06"/>
    <w:rsid w:val="00172464"/>
    <w:rsid w:val="00172978"/>
    <w:rsid w:val="00175DC9"/>
    <w:rsid w:val="00177083"/>
    <w:rsid w:val="0018054D"/>
    <w:rsid w:val="001821F5"/>
    <w:rsid w:val="00182E7C"/>
    <w:rsid w:val="0018511A"/>
    <w:rsid w:val="001856F6"/>
    <w:rsid w:val="001876D1"/>
    <w:rsid w:val="00190ADB"/>
    <w:rsid w:val="001956C6"/>
    <w:rsid w:val="001A1D6B"/>
    <w:rsid w:val="001A329E"/>
    <w:rsid w:val="001A448F"/>
    <w:rsid w:val="001A4AB8"/>
    <w:rsid w:val="001B2493"/>
    <w:rsid w:val="001B3194"/>
    <w:rsid w:val="001B51D8"/>
    <w:rsid w:val="001B58DF"/>
    <w:rsid w:val="001B61A9"/>
    <w:rsid w:val="001B61DF"/>
    <w:rsid w:val="001C04AD"/>
    <w:rsid w:val="001C4F77"/>
    <w:rsid w:val="001C7451"/>
    <w:rsid w:val="001D1681"/>
    <w:rsid w:val="001D2348"/>
    <w:rsid w:val="001D2B4D"/>
    <w:rsid w:val="001D516C"/>
    <w:rsid w:val="001D5B40"/>
    <w:rsid w:val="001E3798"/>
    <w:rsid w:val="001E7368"/>
    <w:rsid w:val="001E77D7"/>
    <w:rsid w:val="001F3449"/>
    <w:rsid w:val="001F49E3"/>
    <w:rsid w:val="0020482D"/>
    <w:rsid w:val="002059EE"/>
    <w:rsid w:val="00215948"/>
    <w:rsid w:val="00217692"/>
    <w:rsid w:val="002238D4"/>
    <w:rsid w:val="00224DD5"/>
    <w:rsid w:val="00225211"/>
    <w:rsid w:val="002258D1"/>
    <w:rsid w:val="002305EB"/>
    <w:rsid w:val="002319C5"/>
    <w:rsid w:val="00235862"/>
    <w:rsid w:val="00243CF2"/>
    <w:rsid w:val="00243E77"/>
    <w:rsid w:val="002460B6"/>
    <w:rsid w:val="002467C1"/>
    <w:rsid w:val="00250009"/>
    <w:rsid w:val="0025307D"/>
    <w:rsid w:val="002533EC"/>
    <w:rsid w:val="00253845"/>
    <w:rsid w:val="002544D1"/>
    <w:rsid w:val="002554ED"/>
    <w:rsid w:val="00261537"/>
    <w:rsid w:val="002635CA"/>
    <w:rsid w:val="002679B6"/>
    <w:rsid w:val="00274482"/>
    <w:rsid w:val="0027515F"/>
    <w:rsid w:val="00275AA3"/>
    <w:rsid w:val="00277A2C"/>
    <w:rsid w:val="00287DAD"/>
    <w:rsid w:val="00290922"/>
    <w:rsid w:val="00292F92"/>
    <w:rsid w:val="002935A1"/>
    <w:rsid w:val="00294F07"/>
    <w:rsid w:val="0029522D"/>
    <w:rsid w:val="002953D0"/>
    <w:rsid w:val="00295498"/>
    <w:rsid w:val="0029625C"/>
    <w:rsid w:val="0029789F"/>
    <w:rsid w:val="00297FFB"/>
    <w:rsid w:val="002A0F6A"/>
    <w:rsid w:val="002A4E55"/>
    <w:rsid w:val="002B037A"/>
    <w:rsid w:val="002B124F"/>
    <w:rsid w:val="002B1F5B"/>
    <w:rsid w:val="002B27C9"/>
    <w:rsid w:val="002B7C65"/>
    <w:rsid w:val="002C1196"/>
    <w:rsid w:val="002C128F"/>
    <w:rsid w:val="002C2977"/>
    <w:rsid w:val="002C38DC"/>
    <w:rsid w:val="002C745B"/>
    <w:rsid w:val="002C7A7A"/>
    <w:rsid w:val="002D2850"/>
    <w:rsid w:val="002D4D57"/>
    <w:rsid w:val="002E0C8F"/>
    <w:rsid w:val="002E1751"/>
    <w:rsid w:val="002E21FA"/>
    <w:rsid w:val="002E36F8"/>
    <w:rsid w:val="002E4309"/>
    <w:rsid w:val="002E5964"/>
    <w:rsid w:val="002E6600"/>
    <w:rsid w:val="002F2849"/>
    <w:rsid w:val="002F4045"/>
    <w:rsid w:val="002F41C6"/>
    <w:rsid w:val="00307AD6"/>
    <w:rsid w:val="00310B94"/>
    <w:rsid w:val="0031475B"/>
    <w:rsid w:val="00320529"/>
    <w:rsid w:val="003207B2"/>
    <w:rsid w:val="0032457A"/>
    <w:rsid w:val="00325EB5"/>
    <w:rsid w:val="00334B6F"/>
    <w:rsid w:val="003364E6"/>
    <w:rsid w:val="003369E1"/>
    <w:rsid w:val="00343691"/>
    <w:rsid w:val="00344A53"/>
    <w:rsid w:val="00345C3B"/>
    <w:rsid w:val="0034635D"/>
    <w:rsid w:val="00346E60"/>
    <w:rsid w:val="003567F9"/>
    <w:rsid w:val="003574DB"/>
    <w:rsid w:val="0036011A"/>
    <w:rsid w:val="003618C8"/>
    <w:rsid w:val="00361B3C"/>
    <w:rsid w:val="003627F2"/>
    <w:rsid w:val="00364DB6"/>
    <w:rsid w:val="00366973"/>
    <w:rsid w:val="00366993"/>
    <w:rsid w:val="003730F5"/>
    <w:rsid w:val="0037567B"/>
    <w:rsid w:val="0037659C"/>
    <w:rsid w:val="00377C0C"/>
    <w:rsid w:val="00381AA1"/>
    <w:rsid w:val="00381CD3"/>
    <w:rsid w:val="00383252"/>
    <w:rsid w:val="00384A1C"/>
    <w:rsid w:val="00385DA3"/>
    <w:rsid w:val="00390AA7"/>
    <w:rsid w:val="00390EAF"/>
    <w:rsid w:val="00391C5D"/>
    <w:rsid w:val="00392A3D"/>
    <w:rsid w:val="0039342F"/>
    <w:rsid w:val="00396ED2"/>
    <w:rsid w:val="0039736C"/>
    <w:rsid w:val="003A0798"/>
    <w:rsid w:val="003A2598"/>
    <w:rsid w:val="003A27E5"/>
    <w:rsid w:val="003A6504"/>
    <w:rsid w:val="003B1707"/>
    <w:rsid w:val="003B2B3B"/>
    <w:rsid w:val="003B2C98"/>
    <w:rsid w:val="003B4028"/>
    <w:rsid w:val="003B4E2D"/>
    <w:rsid w:val="003C3564"/>
    <w:rsid w:val="003C39CC"/>
    <w:rsid w:val="003C47FE"/>
    <w:rsid w:val="003C48B6"/>
    <w:rsid w:val="003D0D6F"/>
    <w:rsid w:val="003D480E"/>
    <w:rsid w:val="003D653F"/>
    <w:rsid w:val="003E2176"/>
    <w:rsid w:val="003E2EB9"/>
    <w:rsid w:val="003E403D"/>
    <w:rsid w:val="003E4512"/>
    <w:rsid w:val="003F4815"/>
    <w:rsid w:val="004052C6"/>
    <w:rsid w:val="004073AC"/>
    <w:rsid w:val="00407873"/>
    <w:rsid w:val="0041223B"/>
    <w:rsid w:val="004124FF"/>
    <w:rsid w:val="00413D90"/>
    <w:rsid w:val="00414DFA"/>
    <w:rsid w:val="0042217C"/>
    <w:rsid w:val="00423229"/>
    <w:rsid w:val="00424AC2"/>
    <w:rsid w:val="004304BF"/>
    <w:rsid w:val="004365E4"/>
    <w:rsid w:val="004368FD"/>
    <w:rsid w:val="00436913"/>
    <w:rsid w:val="00441269"/>
    <w:rsid w:val="00441744"/>
    <w:rsid w:val="004500D6"/>
    <w:rsid w:val="00450584"/>
    <w:rsid w:val="00453487"/>
    <w:rsid w:val="00453966"/>
    <w:rsid w:val="00453DF0"/>
    <w:rsid w:val="00454C77"/>
    <w:rsid w:val="004552A2"/>
    <w:rsid w:val="004610F3"/>
    <w:rsid w:val="00462510"/>
    <w:rsid w:val="004661AC"/>
    <w:rsid w:val="0046746F"/>
    <w:rsid w:val="0047039A"/>
    <w:rsid w:val="00470979"/>
    <w:rsid w:val="00471595"/>
    <w:rsid w:val="00474103"/>
    <w:rsid w:val="0048171A"/>
    <w:rsid w:val="0048296F"/>
    <w:rsid w:val="004860E5"/>
    <w:rsid w:val="00494B5C"/>
    <w:rsid w:val="004969FC"/>
    <w:rsid w:val="004A0649"/>
    <w:rsid w:val="004A0CCD"/>
    <w:rsid w:val="004A1675"/>
    <w:rsid w:val="004A3855"/>
    <w:rsid w:val="004A4FA5"/>
    <w:rsid w:val="004A559B"/>
    <w:rsid w:val="004A596E"/>
    <w:rsid w:val="004B0B55"/>
    <w:rsid w:val="004B5D25"/>
    <w:rsid w:val="004C0325"/>
    <w:rsid w:val="004C3224"/>
    <w:rsid w:val="004C3597"/>
    <w:rsid w:val="004C64E6"/>
    <w:rsid w:val="004C6C31"/>
    <w:rsid w:val="004C7062"/>
    <w:rsid w:val="004C7834"/>
    <w:rsid w:val="004D7007"/>
    <w:rsid w:val="004E2E4B"/>
    <w:rsid w:val="004E4CB7"/>
    <w:rsid w:val="004E65EF"/>
    <w:rsid w:val="004E7BFD"/>
    <w:rsid w:val="004F01D8"/>
    <w:rsid w:val="004F2009"/>
    <w:rsid w:val="004F4D85"/>
    <w:rsid w:val="004F541B"/>
    <w:rsid w:val="005051B1"/>
    <w:rsid w:val="00505C08"/>
    <w:rsid w:val="00506C67"/>
    <w:rsid w:val="00507E03"/>
    <w:rsid w:val="005131DE"/>
    <w:rsid w:val="005131E3"/>
    <w:rsid w:val="0051397A"/>
    <w:rsid w:val="00514FAC"/>
    <w:rsid w:val="00517E52"/>
    <w:rsid w:val="0052040D"/>
    <w:rsid w:val="005216E8"/>
    <w:rsid w:val="005219C0"/>
    <w:rsid w:val="00522D72"/>
    <w:rsid w:val="0052304C"/>
    <w:rsid w:val="005268CF"/>
    <w:rsid w:val="00526B4D"/>
    <w:rsid w:val="00533C92"/>
    <w:rsid w:val="005360A2"/>
    <w:rsid w:val="00541B6B"/>
    <w:rsid w:val="00541EDC"/>
    <w:rsid w:val="00542246"/>
    <w:rsid w:val="00542616"/>
    <w:rsid w:val="0054264C"/>
    <w:rsid w:val="00543D9B"/>
    <w:rsid w:val="00544B34"/>
    <w:rsid w:val="00547600"/>
    <w:rsid w:val="00550E11"/>
    <w:rsid w:val="00551CA5"/>
    <w:rsid w:val="0055451A"/>
    <w:rsid w:val="00555839"/>
    <w:rsid w:val="005604BB"/>
    <w:rsid w:val="005615FB"/>
    <w:rsid w:val="00565175"/>
    <w:rsid w:val="0056526C"/>
    <w:rsid w:val="00565F67"/>
    <w:rsid w:val="00570BB3"/>
    <w:rsid w:val="005771B8"/>
    <w:rsid w:val="005801B7"/>
    <w:rsid w:val="00584216"/>
    <w:rsid w:val="005867AF"/>
    <w:rsid w:val="00587C07"/>
    <w:rsid w:val="0059318C"/>
    <w:rsid w:val="0059445E"/>
    <w:rsid w:val="00594CE3"/>
    <w:rsid w:val="005A198A"/>
    <w:rsid w:val="005A238A"/>
    <w:rsid w:val="005A3FC0"/>
    <w:rsid w:val="005A589F"/>
    <w:rsid w:val="005A6334"/>
    <w:rsid w:val="005A6414"/>
    <w:rsid w:val="005A7474"/>
    <w:rsid w:val="005B1969"/>
    <w:rsid w:val="005B1BBD"/>
    <w:rsid w:val="005B3E09"/>
    <w:rsid w:val="005B570C"/>
    <w:rsid w:val="005B58AF"/>
    <w:rsid w:val="005C0F1C"/>
    <w:rsid w:val="005C299F"/>
    <w:rsid w:val="005C4E34"/>
    <w:rsid w:val="005C4FE1"/>
    <w:rsid w:val="005C50B6"/>
    <w:rsid w:val="005C6B09"/>
    <w:rsid w:val="005D4CC7"/>
    <w:rsid w:val="005E2E79"/>
    <w:rsid w:val="005E35FD"/>
    <w:rsid w:val="005E4903"/>
    <w:rsid w:val="005E68E2"/>
    <w:rsid w:val="005F2914"/>
    <w:rsid w:val="005F4047"/>
    <w:rsid w:val="005F48AB"/>
    <w:rsid w:val="005F6DB8"/>
    <w:rsid w:val="005F78EB"/>
    <w:rsid w:val="005F7F70"/>
    <w:rsid w:val="00605026"/>
    <w:rsid w:val="00605F54"/>
    <w:rsid w:val="00606253"/>
    <w:rsid w:val="00606B3D"/>
    <w:rsid w:val="00607C0B"/>
    <w:rsid w:val="00607DAD"/>
    <w:rsid w:val="00610E06"/>
    <w:rsid w:val="00613A65"/>
    <w:rsid w:val="0061406A"/>
    <w:rsid w:val="006140FE"/>
    <w:rsid w:val="0061455D"/>
    <w:rsid w:val="00615A38"/>
    <w:rsid w:val="00615B28"/>
    <w:rsid w:val="006166C9"/>
    <w:rsid w:val="00620E20"/>
    <w:rsid w:val="00623988"/>
    <w:rsid w:val="00625FBE"/>
    <w:rsid w:val="00635A25"/>
    <w:rsid w:val="00636699"/>
    <w:rsid w:val="006422CA"/>
    <w:rsid w:val="00644181"/>
    <w:rsid w:val="0064434E"/>
    <w:rsid w:val="00656DCF"/>
    <w:rsid w:val="00673A41"/>
    <w:rsid w:val="00673BA2"/>
    <w:rsid w:val="00675BA7"/>
    <w:rsid w:val="00681D31"/>
    <w:rsid w:val="00682071"/>
    <w:rsid w:val="0068239A"/>
    <w:rsid w:val="006831C1"/>
    <w:rsid w:val="0068375F"/>
    <w:rsid w:val="00684C16"/>
    <w:rsid w:val="006855F1"/>
    <w:rsid w:val="0068791E"/>
    <w:rsid w:val="006914D9"/>
    <w:rsid w:val="00691AAB"/>
    <w:rsid w:val="00691ECC"/>
    <w:rsid w:val="00691FBF"/>
    <w:rsid w:val="0069473B"/>
    <w:rsid w:val="006A198A"/>
    <w:rsid w:val="006A52D4"/>
    <w:rsid w:val="006A73CB"/>
    <w:rsid w:val="006A73D8"/>
    <w:rsid w:val="006A74ED"/>
    <w:rsid w:val="006B06E8"/>
    <w:rsid w:val="006B08E3"/>
    <w:rsid w:val="006B1D7B"/>
    <w:rsid w:val="006B44C5"/>
    <w:rsid w:val="006B5031"/>
    <w:rsid w:val="006B79E2"/>
    <w:rsid w:val="006C184D"/>
    <w:rsid w:val="006C20A1"/>
    <w:rsid w:val="006C6CBA"/>
    <w:rsid w:val="006C783F"/>
    <w:rsid w:val="006C7878"/>
    <w:rsid w:val="006D1790"/>
    <w:rsid w:val="006D43A7"/>
    <w:rsid w:val="006D4E44"/>
    <w:rsid w:val="006D527F"/>
    <w:rsid w:val="006D64AE"/>
    <w:rsid w:val="006D6ED7"/>
    <w:rsid w:val="006E0F8B"/>
    <w:rsid w:val="006E2A87"/>
    <w:rsid w:val="006E3A14"/>
    <w:rsid w:val="006E44C2"/>
    <w:rsid w:val="006E4BE3"/>
    <w:rsid w:val="006E5271"/>
    <w:rsid w:val="006E5DF5"/>
    <w:rsid w:val="006F0FAC"/>
    <w:rsid w:val="006F2015"/>
    <w:rsid w:val="006F2E34"/>
    <w:rsid w:val="006F38CD"/>
    <w:rsid w:val="006F4DE3"/>
    <w:rsid w:val="006F5AD7"/>
    <w:rsid w:val="007006DC"/>
    <w:rsid w:val="00701AA9"/>
    <w:rsid w:val="00704836"/>
    <w:rsid w:val="00704DB8"/>
    <w:rsid w:val="00704F91"/>
    <w:rsid w:val="00705AAB"/>
    <w:rsid w:val="00710B10"/>
    <w:rsid w:val="007120D9"/>
    <w:rsid w:val="00713AB3"/>
    <w:rsid w:val="00716CEA"/>
    <w:rsid w:val="007174DA"/>
    <w:rsid w:val="007230DD"/>
    <w:rsid w:val="00725396"/>
    <w:rsid w:val="00725DCA"/>
    <w:rsid w:val="00730635"/>
    <w:rsid w:val="00735182"/>
    <w:rsid w:val="00736B7A"/>
    <w:rsid w:val="0073714C"/>
    <w:rsid w:val="00743CB6"/>
    <w:rsid w:val="00747098"/>
    <w:rsid w:val="00752D3E"/>
    <w:rsid w:val="0075358E"/>
    <w:rsid w:val="007544F9"/>
    <w:rsid w:val="0075506F"/>
    <w:rsid w:val="007617C8"/>
    <w:rsid w:val="0076202E"/>
    <w:rsid w:val="0076338F"/>
    <w:rsid w:val="00764075"/>
    <w:rsid w:val="00765D7D"/>
    <w:rsid w:val="00767550"/>
    <w:rsid w:val="007679B5"/>
    <w:rsid w:val="007706A8"/>
    <w:rsid w:val="0077097E"/>
    <w:rsid w:val="0077430A"/>
    <w:rsid w:val="007754E1"/>
    <w:rsid w:val="00776085"/>
    <w:rsid w:val="00783BF2"/>
    <w:rsid w:val="00785CA5"/>
    <w:rsid w:val="0078612C"/>
    <w:rsid w:val="00786552"/>
    <w:rsid w:val="00787552"/>
    <w:rsid w:val="00787B61"/>
    <w:rsid w:val="00787D2F"/>
    <w:rsid w:val="007913B4"/>
    <w:rsid w:val="007915BC"/>
    <w:rsid w:val="00794929"/>
    <w:rsid w:val="00794C64"/>
    <w:rsid w:val="00795877"/>
    <w:rsid w:val="007A54BD"/>
    <w:rsid w:val="007A74E7"/>
    <w:rsid w:val="007A7726"/>
    <w:rsid w:val="007A7F93"/>
    <w:rsid w:val="007B1EFC"/>
    <w:rsid w:val="007B3066"/>
    <w:rsid w:val="007B31DB"/>
    <w:rsid w:val="007B343F"/>
    <w:rsid w:val="007B7980"/>
    <w:rsid w:val="007D1569"/>
    <w:rsid w:val="007D17A2"/>
    <w:rsid w:val="007D31EA"/>
    <w:rsid w:val="007D3417"/>
    <w:rsid w:val="007D4699"/>
    <w:rsid w:val="007D53F5"/>
    <w:rsid w:val="007D679C"/>
    <w:rsid w:val="007D747E"/>
    <w:rsid w:val="007E2F6E"/>
    <w:rsid w:val="007E331C"/>
    <w:rsid w:val="007E7676"/>
    <w:rsid w:val="007F4246"/>
    <w:rsid w:val="007F4884"/>
    <w:rsid w:val="007F49E3"/>
    <w:rsid w:val="007F57FD"/>
    <w:rsid w:val="007F7EA7"/>
    <w:rsid w:val="00811E59"/>
    <w:rsid w:val="00812AC9"/>
    <w:rsid w:val="00813538"/>
    <w:rsid w:val="008163E2"/>
    <w:rsid w:val="00816E40"/>
    <w:rsid w:val="00821C2D"/>
    <w:rsid w:val="00824495"/>
    <w:rsid w:val="00825267"/>
    <w:rsid w:val="0082649E"/>
    <w:rsid w:val="00831449"/>
    <w:rsid w:val="00835540"/>
    <w:rsid w:val="00837E8A"/>
    <w:rsid w:val="00841742"/>
    <w:rsid w:val="00841DAB"/>
    <w:rsid w:val="00842C53"/>
    <w:rsid w:val="00843084"/>
    <w:rsid w:val="0084389B"/>
    <w:rsid w:val="00844FB5"/>
    <w:rsid w:val="008453F4"/>
    <w:rsid w:val="00846A93"/>
    <w:rsid w:val="00847707"/>
    <w:rsid w:val="0085341E"/>
    <w:rsid w:val="0085406F"/>
    <w:rsid w:val="008573B8"/>
    <w:rsid w:val="0086140C"/>
    <w:rsid w:val="008623EF"/>
    <w:rsid w:val="00862C98"/>
    <w:rsid w:val="00863ED4"/>
    <w:rsid w:val="0086567E"/>
    <w:rsid w:val="00867B7F"/>
    <w:rsid w:val="0087164F"/>
    <w:rsid w:val="008737E1"/>
    <w:rsid w:val="00875AA9"/>
    <w:rsid w:val="00885830"/>
    <w:rsid w:val="00887964"/>
    <w:rsid w:val="00890E6E"/>
    <w:rsid w:val="00891ABF"/>
    <w:rsid w:val="00892324"/>
    <w:rsid w:val="0089668E"/>
    <w:rsid w:val="00897A70"/>
    <w:rsid w:val="008A018F"/>
    <w:rsid w:val="008A5C69"/>
    <w:rsid w:val="008B220A"/>
    <w:rsid w:val="008B45F0"/>
    <w:rsid w:val="008B485A"/>
    <w:rsid w:val="008B5791"/>
    <w:rsid w:val="008B5FC8"/>
    <w:rsid w:val="008B67B6"/>
    <w:rsid w:val="008C371D"/>
    <w:rsid w:val="008C4773"/>
    <w:rsid w:val="008C49AB"/>
    <w:rsid w:val="008C4E8D"/>
    <w:rsid w:val="008C5B62"/>
    <w:rsid w:val="008C7AEF"/>
    <w:rsid w:val="008D160F"/>
    <w:rsid w:val="008D2827"/>
    <w:rsid w:val="008D3799"/>
    <w:rsid w:val="008D563E"/>
    <w:rsid w:val="008E22FE"/>
    <w:rsid w:val="008E478F"/>
    <w:rsid w:val="008E6847"/>
    <w:rsid w:val="008E7E28"/>
    <w:rsid w:val="008F16CE"/>
    <w:rsid w:val="008F28CE"/>
    <w:rsid w:val="008F546F"/>
    <w:rsid w:val="008F6D01"/>
    <w:rsid w:val="008F6F69"/>
    <w:rsid w:val="00904642"/>
    <w:rsid w:val="00905F3B"/>
    <w:rsid w:val="0090678F"/>
    <w:rsid w:val="009072C8"/>
    <w:rsid w:val="00913128"/>
    <w:rsid w:val="00913441"/>
    <w:rsid w:val="009144F2"/>
    <w:rsid w:val="00915603"/>
    <w:rsid w:val="00917881"/>
    <w:rsid w:val="009268C5"/>
    <w:rsid w:val="00933517"/>
    <w:rsid w:val="00933FDE"/>
    <w:rsid w:val="00942DD0"/>
    <w:rsid w:val="00943E8A"/>
    <w:rsid w:val="0094547D"/>
    <w:rsid w:val="00945E6E"/>
    <w:rsid w:val="009520C2"/>
    <w:rsid w:val="00953D6D"/>
    <w:rsid w:val="009549DF"/>
    <w:rsid w:val="00954C8B"/>
    <w:rsid w:val="00961B52"/>
    <w:rsid w:val="00962E87"/>
    <w:rsid w:val="00963CEF"/>
    <w:rsid w:val="00964EC4"/>
    <w:rsid w:val="00964FF0"/>
    <w:rsid w:val="0096691F"/>
    <w:rsid w:val="00970586"/>
    <w:rsid w:val="00970906"/>
    <w:rsid w:val="00971229"/>
    <w:rsid w:val="0097288F"/>
    <w:rsid w:val="00980500"/>
    <w:rsid w:val="009821D5"/>
    <w:rsid w:val="00984E97"/>
    <w:rsid w:val="00985966"/>
    <w:rsid w:val="00985F71"/>
    <w:rsid w:val="009863C4"/>
    <w:rsid w:val="00986582"/>
    <w:rsid w:val="00986F0D"/>
    <w:rsid w:val="00992042"/>
    <w:rsid w:val="009A224E"/>
    <w:rsid w:val="009A7690"/>
    <w:rsid w:val="009B19BA"/>
    <w:rsid w:val="009B24DD"/>
    <w:rsid w:val="009B296E"/>
    <w:rsid w:val="009B5535"/>
    <w:rsid w:val="009B5929"/>
    <w:rsid w:val="009B5F58"/>
    <w:rsid w:val="009C0CC1"/>
    <w:rsid w:val="009C10C0"/>
    <w:rsid w:val="009C1FDB"/>
    <w:rsid w:val="009C2A14"/>
    <w:rsid w:val="009C43E2"/>
    <w:rsid w:val="009C7141"/>
    <w:rsid w:val="009D1AD4"/>
    <w:rsid w:val="009D3C41"/>
    <w:rsid w:val="009D7C58"/>
    <w:rsid w:val="009E29F4"/>
    <w:rsid w:val="009E2A2F"/>
    <w:rsid w:val="009E3E6B"/>
    <w:rsid w:val="009E3FE7"/>
    <w:rsid w:val="009E4C36"/>
    <w:rsid w:val="009E608F"/>
    <w:rsid w:val="009F0058"/>
    <w:rsid w:val="009F0F93"/>
    <w:rsid w:val="009F2669"/>
    <w:rsid w:val="009F3FF2"/>
    <w:rsid w:val="009F4402"/>
    <w:rsid w:val="009F5DBF"/>
    <w:rsid w:val="00A0242A"/>
    <w:rsid w:val="00A02DD0"/>
    <w:rsid w:val="00A0500F"/>
    <w:rsid w:val="00A054D8"/>
    <w:rsid w:val="00A05B82"/>
    <w:rsid w:val="00A06B0A"/>
    <w:rsid w:val="00A07CBD"/>
    <w:rsid w:val="00A107C9"/>
    <w:rsid w:val="00A137FD"/>
    <w:rsid w:val="00A13D0D"/>
    <w:rsid w:val="00A1728C"/>
    <w:rsid w:val="00A20ABB"/>
    <w:rsid w:val="00A21A71"/>
    <w:rsid w:val="00A21DA5"/>
    <w:rsid w:val="00A2265F"/>
    <w:rsid w:val="00A2350E"/>
    <w:rsid w:val="00A2351A"/>
    <w:rsid w:val="00A23935"/>
    <w:rsid w:val="00A23E1B"/>
    <w:rsid w:val="00A24B2F"/>
    <w:rsid w:val="00A263B8"/>
    <w:rsid w:val="00A274B8"/>
    <w:rsid w:val="00A31A08"/>
    <w:rsid w:val="00A32370"/>
    <w:rsid w:val="00A32440"/>
    <w:rsid w:val="00A32E35"/>
    <w:rsid w:val="00A428F8"/>
    <w:rsid w:val="00A44F12"/>
    <w:rsid w:val="00A517D7"/>
    <w:rsid w:val="00A5336C"/>
    <w:rsid w:val="00A54B03"/>
    <w:rsid w:val="00A605F0"/>
    <w:rsid w:val="00A61B39"/>
    <w:rsid w:val="00A6405C"/>
    <w:rsid w:val="00A644E2"/>
    <w:rsid w:val="00A66E20"/>
    <w:rsid w:val="00A71D39"/>
    <w:rsid w:val="00A73F51"/>
    <w:rsid w:val="00A740FF"/>
    <w:rsid w:val="00A77E36"/>
    <w:rsid w:val="00A85559"/>
    <w:rsid w:val="00A93F78"/>
    <w:rsid w:val="00A951FF"/>
    <w:rsid w:val="00A9588C"/>
    <w:rsid w:val="00A95A42"/>
    <w:rsid w:val="00A96A26"/>
    <w:rsid w:val="00A97AF6"/>
    <w:rsid w:val="00AA1ACD"/>
    <w:rsid w:val="00AA4231"/>
    <w:rsid w:val="00AA48D6"/>
    <w:rsid w:val="00AA5B3C"/>
    <w:rsid w:val="00AB6060"/>
    <w:rsid w:val="00AB62F9"/>
    <w:rsid w:val="00AB63F7"/>
    <w:rsid w:val="00AB6991"/>
    <w:rsid w:val="00AC05F9"/>
    <w:rsid w:val="00AC1C21"/>
    <w:rsid w:val="00AC2F18"/>
    <w:rsid w:val="00AC3661"/>
    <w:rsid w:val="00AC4D99"/>
    <w:rsid w:val="00AC6F0C"/>
    <w:rsid w:val="00AC76F4"/>
    <w:rsid w:val="00AD36C1"/>
    <w:rsid w:val="00AD7DBE"/>
    <w:rsid w:val="00AE0DA5"/>
    <w:rsid w:val="00AE2804"/>
    <w:rsid w:val="00AE6142"/>
    <w:rsid w:val="00AF35A6"/>
    <w:rsid w:val="00AF43C2"/>
    <w:rsid w:val="00AF47CF"/>
    <w:rsid w:val="00AF6A6A"/>
    <w:rsid w:val="00B009E5"/>
    <w:rsid w:val="00B01C83"/>
    <w:rsid w:val="00B0454D"/>
    <w:rsid w:val="00B05266"/>
    <w:rsid w:val="00B1040E"/>
    <w:rsid w:val="00B118BC"/>
    <w:rsid w:val="00B14A19"/>
    <w:rsid w:val="00B20A0A"/>
    <w:rsid w:val="00B210C6"/>
    <w:rsid w:val="00B24543"/>
    <w:rsid w:val="00B2585E"/>
    <w:rsid w:val="00B30037"/>
    <w:rsid w:val="00B32639"/>
    <w:rsid w:val="00B34131"/>
    <w:rsid w:val="00B36653"/>
    <w:rsid w:val="00B36CEB"/>
    <w:rsid w:val="00B377C1"/>
    <w:rsid w:val="00B42631"/>
    <w:rsid w:val="00B449D8"/>
    <w:rsid w:val="00B45CA8"/>
    <w:rsid w:val="00B46367"/>
    <w:rsid w:val="00B46887"/>
    <w:rsid w:val="00B46D4E"/>
    <w:rsid w:val="00B47070"/>
    <w:rsid w:val="00B47D59"/>
    <w:rsid w:val="00B50365"/>
    <w:rsid w:val="00B51F7E"/>
    <w:rsid w:val="00B53688"/>
    <w:rsid w:val="00B54426"/>
    <w:rsid w:val="00B54995"/>
    <w:rsid w:val="00B62E7A"/>
    <w:rsid w:val="00B64C7C"/>
    <w:rsid w:val="00B7230B"/>
    <w:rsid w:val="00B771F8"/>
    <w:rsid w:val="00B8221E"/>
    <w:rsid w:val="00B91074"/>
    <w:rsid w:val="00B9315F"/>
    <w:rsid w:val="00B938C8"/>
    <w:rsid w:val="00B946A2"/>
    <w:rsid w:val="00B9511F"/>
    <w:rsid w:val="00B9593B"/>
    <w:rsid w:val="00BA19FA"/>
    <w:rsid w:val="00BA1BB5"/>
    <w:rsid w:val="00BA24D4"/>
    <w:rsid w:val="00BA3FF9"/>
    <w:rsid w:val="00BA50C3"/>
    <w:rsid w:val="00BA67E8"/>
    <w:rsid w:val="00BA7F30"/>
    <w:rsid w:val="00BB0C70"/>
    <w:rsid w:val="00BB30CD"/>
    <w:rsid w:val="00BC05B8"/>
    <w:rsid w:val="00BC07C3"/>
    <w:rsid w:val="00BC1DB3"/>
    <w:rsid w:val="00BC366B"/>
    <w:rsid w:val="00BD093B"/>
    <w:rsid w:val="00BD0964"/>
    <w:rsid w:val="00BD7B14"/>
    <w:rsid w:val="00BE0F43"/>
    <w:rsid w:val="00BE1000"/>
    <w:rsid w:val="00BF12C5"/>
    <w:rsid w:val="00BF28DC"/>
    <w:rsid w:val="00BF31AC"/>
    <w:rsid w:val="00BF4612"/>
    <w:rsid w:val="00BF63C8"/>
    <w:rsid w:val="00BF6A9E"/>
    <w:rsid w:val="00BF7CC7"/>
    <w:rsid w:val="00BF7F75"/>
    <w:rsid w:val="00C034D4"/>
    <w:rsid w:val="00C04162"/>
    <w:rsid w:val="00C055B3"/>
    <w:rsid w:val="00C06ACF"/>
    <w:rsid w:val="00C13399"/>
    <w:rsid w:val="00C13D7E"/>
    <w:rsid w:val="00C224F2"/>
    <w:rsid w:val="00C24198"/>
    <w:rsid w:val="00C265E9"/>
    <w:rsid w:val="00C3156D"/>
    <w:rsid w:val="00C34052"/>
    <w:rsid w:val="00C34A58"/>
    <w:rsid w:val="00C34AF2"/>
    <w:rsid w:val="00C35666"/>
    <w:rsid w:val="00C40E1F"/>
    <w:rsid w:val="00C45891"/>
    <w:rsid w:val="00C500CA"/>
    <w:rsid w:val="00C52D8B"/>
    <w:rsid w:val="00C55E46"/>
    <w:rsid w:val="00C628EF"/>
    <w:rsid w:val="00C65918"/>
    <w:rsid w:val="00C66418"/>
    <w:rsid w:val="00C66D93"/>
    <w:rsid w:val="00C713C5"/>
    <w:rsid w:val="00C71867"/>
    <w:rsid w:val="00C71E2F"/>
    <w:rsid w:val="00C71F9D"/>
    <w:rsid w:val="00C725A1"/>
    <w:rsid w:val="00C73DAA"/>
    <w:rsid w:val="00C74406"/>
    <w:rsid w:val="00C74472"/>
    <w:rsid w:val="00C74930"/>
    <w:rsid w:val="00C751E8"/>
    <w:rsid w:val="00C75F55"/>
    <w:rsid w:val="00C81688"/>
    <w:rsid w:val="00C863C5"/>
    <w:rsid w:val="00C86A5F"/>
    <w:rsid w:val="00C92672"/>
    <w:rsid w:val="00C95B56"/>
    <w:rsid w:val="00C97970"/>
    <w:rsid w:val="00CA0245"/>
    <w:rsid w:val="00CA4735"/>
    <w:rsid w:val="00CA4F2F"/>
    <w:rsid w:val="00CA6302"/>
    <w:rsid w:val="00CA683F"/>
    <w:rsid w:val="00CA7C4B"/>
    <w:rsid w:val="00CB08B4"/>
    <w:rsid w:val="00CB1DBC"/>
    <w:rsid w:val="00CB22BA"/>
    <w:rsid w:val="00CB4D4F"/>
    <w:rsid w:val="00CB6D54"/>
    <w:rsid w:val="00CC1340"/>
    <w:rsid w:val="00CC4034"/>
    <w:rsid w:val="00CC4158"/>
    <w:rsid w:val="00CC5860"/>
    <w:rsid w:val="00CC7AF4"/>
    <w:rsid w:val="00CC7CBA"/>
    <w:rsid w:val="00CD48B8"/>
    <w:rsid w:val="00CE0B60"/>
    <w:rsid w:val="00CE36DC"/>
    <w:rsid w:val="00CE3D4E"/>
    <w:rsid w:val="00CE530B"/>
    <w:rsid w:val="00CE74DB"/>
    <w:rsid w:val="00CF088D"/>
    <w:rsid w:val="00CF33D7"/>
    <w:rsid w:val="00CF50FA"/>
    <w:rsid w:val="00CF575E"/>
    <w:rsid w:val="00CF6D4A"/>
    <w:rsid w:val="00D00FC6"/>
    <w:rsid w:val="00D01FAA"/>
    <w:rsid w:val="00D02A9F"/>
    <w:rsid w:val="00D03FDF"/>
    <w:rsid w:val="00D04974"/>
    <w:rsid w:val="00D065D3"/>
    <w:rsid w:val="00D0722A"/>
    <w:rsid w:val="00D10874"/>
    <w:rsid w:val="00D1323C"/>
    <w:rsid w:val="00D16582"/>
    <w:rsid w:val="00D168FD"/>
    <w:rsid w:val="00D16A54"/>
    <w:rsid w:val="00D16D6A"/>
    <w:rsid w:val="00D172B6"/>
    <w:rsid w:val="00D2203A"/>
    <w:rsid w:val="00D22B73"/>
    <w:rsid w:val="00D263F1"/>
    <w:rsid w:val="00D27F89"/>
    <w:rsid w:val="00D30052"/>
    <w:rsid w:val="00D3019E"/>
    <w:rsid w:val="00D30754"/>
    <w:rsid w:val="00D318EE"/>
    <w:rsid w:val="00D3275E"/>
    <w:rsid w:val="00D33D64"/>
    <w:rsid w:val="00D3552C"/>
    <w:rsid w:val="00D430E1"/>
    <w:rsid w:val="00D43B72"/>
    <w:rsid w:val="00D4514B"/>
    <w:rsid w:val="00D4516C"/>
    <w:rsid w:val="00D4689E"/>
    <w:rsid w:val="00D47E50"/>
    <w:rsid w:val="00D520D9"/>
    <w:rsid w:val="00D543E5"/>
    <w:rsid w:val="00D5591D"/>
    <w:rsid w:val="00D56C01"/>
    <w:rsid w:val="00D57F33"/>
    <w:rsid w:val="00D631FE"/>
    <w:rsid w:val="00D654E1"/>
    <w:rsid w:val="00D700BF"/>
    <w:rsid w:val="00D70929"/>
    <w:rsid w:val="00D7140F"/>
    <w:rsid w:val="00D77F08"/>
    <w:rsid w:val="00D80AB1"/>
    <w:rsid w:val="00D814C6"/>
    <w:rsid w:val="00D81530"/>
    <w:rsid w:val="00D819E6"/>
    <w:rsid w:val="00D905D2"/>
    <w:rsid w:val="00D93013"/>
    <w:rsid w:val="00D93ED5"/>
    <w:rsid w:val="00D97056"/>
    <w:rsid w:val="00D9720D"/>
    <w:rsid w:val="00D97647"/>
    <w:rsid w:val="00DA12A3"/>
    <w:rsid w:val="00DA43CD"/>
    <w:rsid w:val="00DA62E5"/>
    <w:rsid w:val="00DA6DCB"/>
    <w:rsid w:val="00DB06CE"/>
    <w:rsid w:val="00DB2419"/>
    <w:rsid w:val="00DB2474"/>
    <w:rsid w:val="00DB2B1E"/>
    <w:rsid w:val="00DB2EF4"/>
    <w:rsid w:val="00DC0125"/>
    <w:rsid w:val="00DC045C"/>
    <w:rsid w:val="00DC14E3"/>
    <w:rsid w:val="00DC5EB7"/>
    <w:rsid w:val="00DD0FB5"/>
    <w:rsid w:val="00DD27CF"/>
    <w:rsid w:val="00DD281F"/>
    <w:rsid w:val="00DE2CD2"/>
    <w:rsid w:val="00DE35B2"/>
    <w:rsid w:val="00DE3D02"/>
    <w:rsid w:val="00DF24A1"/>
    <w:rsid w:val="00DF3EF2"/>
    <w:rsid w:val="00DF58EF"/>
    <w:rsid w:val="00E034E9"/>
    <w:rsid w:val="00E04A8F"/>
    <w:rsid w:val="00E06D34"/>
    <w:rsid w:val="00E11AEA"/>
    <w:rsid w:val="00E17587"/>
    <w:rsid w:val="00E17623"/>
    <w:rsid w:val="00E17755"/>
    <w:rsid w:val="00E21079"/>
    <w:rsid w:val="00E23A40"/>
    <w:rsid w:val="00E303CD"/>
    <w:rsid w:val="00E30F7C"/>
    <w:rsid w:val="00E314EE"/>
    <w:rsid w:val="00E33437"/>
    <w:rsid w:val="00E37E41"/>
    <w:rsid w:val="00E446D5"/>
    <w:rsid w:val="00E470FC"/>
    <w:rsid w:val="00E474D6"/>
    <w:rsid w:val="00E47D74"/>
    <w:rsid w:val="00E50E3D"/>
    <w:rsid w:val="00E51CC4"/>
    <w:rsid w:val="00E567F5"/>
    <w:rsid w:val="00E6364B"/>
    <w:rsid w:val="00E665E6"/>
    <w:rsid w:val="00E706D7"/>
    <w:rsid w:val="00E71EDA"/>
    <w:rsid w:val="00E74418"/>
    <w:rsid w:val="00E74425"/>
    <w:rsid w:val="00E75BC3"/>
    <w:rsid w:val="00E77830"/>
    <w:rsid w:val="00E8069A"/>
    <w:rsid w:val="00E83AA7"/>
    <w:rsid w:val="00E86F32"/>
    <w:rsid w:val="00E87B23"/>
    <w:rsid w:val="00E90BA8"/>
    <w:rsid w:val="00E921FD"/>
    <w:rsid w:val="00E942C4"/>
    <w:rsid w:val="00E95841"/>
    <w:rsid w:val="00E9607B"/>
    <w:rsid w:val="00E961AA"/>
    <w:rsid w:val="00E97677"/>
    <w:rsid w:val="00E97BE4"/>
    <w:rsid w:val="00EA2281"/>
    <w:rsid w:val="00EA40F7"/>
    <w:rsid w:val="00EB09D8"/>
    <w:rsid w:val="00EB1D31"/>
    <w:rsid w:val="00EB370F"/>
    <w:rsid w:val="00EB5715"/>
    <w:rsid w:val="00EB6DFD"/>
    <w:rsid w:val="00EC1C8D"/>
    <w:rsid w:val="00EC2916"/>
    <w:rsid w:val="00EC4D3E"/>
    <w:rsid w:val="00EC5E2D"/>
    <w:rsid w:val="00ED0016"/>
    <w:rsid w:val="00ED057F"/>
    <w:rsid w:val="00ED43F7"/>
    <w:rsid w:val="00ED5E1B"/>
    <w:rsid w:val="00EE2C76"/>
    <w:rsid w:val="00EE375A"/>
    <w:rsid w:val="00EE63E1"/>
    <w:rsid w:val="00EE6F35"/>
    <w:rsid w:val="00EE74A5"/>
    <w:rsid w:val="00EF028E"/>
    <w:rsid w:val="00EF4E80"/>
    <w:rsid w:val="00EF6146"/>
    <w:rsid w:val="00EF79CD"/>
    <w:rsid w:val="00F017AA"/>
    <w:rsid w:val="00F01B50"/>
    <w:rsid w:val="00F01BFA"/>
    <w:rsid w:val="00F06393"/>
    <w:rsid w:val="00F0743E"/>
    <w:rsid w:val="00F140A9"/>
    <w:rsid w:val="00F170F5"/>
    <w:rsid w:val="00F21511"/>
    <w:rsid w:val="00F21FD4"/>
    <w:rsid w:val="00F2549A"/>
    <w:rsid w:val="00F32AAE"/>
    <w:rsid w:val="00F32D62"/>
    <w:rsid w:val="00F33078"/>
    <w:rsid w:val="00F35C54"/>
    <w:rsid w:val="00F42601"/>
    <w:rsid w:val="00F43CE6"/>
    <w:rsid w:val="00F448D4"/>
    <w:rsid w:val="00F45DE3"/>
    <w:rsid w:val="00F4682E"/>
    <w:rsid w:val="00F478F9"/>
    <w:rsid w:val="00F50530"/>
    <w:rsid w:val="00F50B72"/>
    <w:rsid w:val="00F50ED1"/>
    <w:rsid w:val="00F5239F"/>
    <w:rsid w:val="00F622B6"/>
    <w:rsid w:val="00F62FA8"/>
    <w:rsid w:val="00F63575"/>
    <w:rsid w:val="00F67BC9"/>
    <w:rsid w:val="00F67C91"/>
    <w:rsid w:val="00F70F54"/>
    <w:rsid w:val="00F71735"/>
    <w:rsid w:val="00F76F24"/>
    <w:rsid w:val="00F81F27"/>
    <w:rsid w:val="00F83857"/>
    <w:rsid w:val="00F86D73"/>
    <w:rsid w:val="00F90926"/>
    <w:rsid w:val="00F940A0"/>
    <w:rsid w:val="00F94D7B"/>
    <w:rsid w:val="00F9622D"/>
    <w:rsid w:val="00FA6EA5"/>
    <w:rsid w:val="00FB4E05"/>
    <w:rsid w:val="00FB64C7"/>
    <w:rsid w:val="00FB663C"/>
    <w:rsid w:val="00FC0323"/>
    <w:rsid w:val="00FC2B17"/>
    <w:rsid w:val="00FC5F1A"/>
    <w:rsid w:val="00FD1530"/>
    <w:rsid w:val="00FD483F"/>
    <w:rsid w:val="00FD653D"/>
    <w:rsid w:val="00FD741E"/>
    <w:rsid w:val="00FE1BCE"/>
    <w:rsid w:val="00FF2418"/>
    <w:rsid w:val="00FF3929"/>
    <w:rsid w:val="00FF749F"/>
    <w:rsid w:val="01133753"/>
    <w:rsid w:val="011C0FF8"/>
    <w:rsid w:val="011F4755"/>
    <w:rsid w:val="016E2B68"/>
    <w:rsid w:val="017C26C1"/>
    <w:rsid w:val="025A21B2"/>
    <w:rsid w:val="025E466E"/>
    <w:rsid w:val="02985ED1"/>
    <w:rsid w:val="02A837E9"/>
    <w:rsid w:val="02B73E03"/>
    <w:rsid w:val="02DA6D6A"/>
    <w:rsid w:val="02DF2025"/>
    <w:rsid w:val="03056101"/>
    <w:rsid w:val="03256371"/>
    <w:rsid w:val="032D68C3"/>
    <w:rsid w:val="0333635B"/>
    <w:rsid w:val="035D37EA"/>
    <w:rsid w:val="037164C4"/>
    <w:rsid w:val="03764262"/>
    <w:rsid w:val="04044BE3"/>
    <w:rsid w:val="0464670D"/>
    <w:rsid w:val="04692EAF"/>
    <w:rsid w:val="04C035DB"/>
    <w:rsid w:val="050155E9"/>
    <w:rsid w:val="0539061F"/>
    <w:rsid w:val="054953DA"/>
    <w:rsid w:val="05500244"/>
    <w:rsid w:val="05C43A86"/>
    <w:rsid w:val="05E57FFF"/>
    <w:rsid w:val="06104B20"/>
    <w:rsid w:val="06223E20"/>
    <w:rsid w:val="062D7C32"/>
    <w:rsid w:val="06C05FAB"/>
    <w:rsid w:val="07040B8F"/>
    <w:rsid w:val="071163A2"/>
    <w:rsid w:val="076B1EF0"/>
    <w:rsid w:val="07853B87"/>
    <w:rsid w:val="07983134"/>
    <w:rsid w:val="07E555B3"/>
    <w:rsid w:val="07FC1127"/>
    <w:rsid w:val="080C13C2"/>
    <w:rsid w:val="086624EC"/>
    <w:rsid w:val="086D0AD3"/>
    <w:rsid w:val="09410948"/>
    <w:rsid w:val="094B42CC"/>
    <w:rsid w:val="09622743"/>
    <w:rsid w:val="096D7D04"/>
    <w:rsid w:val="09711729"/>
    <w:rsid w:val="098205F5"/>
    <w:rsid w:val="09902FE9"/>
    <w:rsid w:val="09AC7A5A"/>
    <w:rsid w:val="09AF2C35"/>
    <w:rsid w:val="0A152358"/>
    <w:rsid w:val="0A421C06"/>
    <w:rsid w:val="0A456833"/>
    <w:rsid w:val="0A71039E"/>
    <w:rsid w:val="0A9D57A3"/>
    <w:rsid w:val="0AA2487E"/>
    <w:rsid w:val="0AD9119F"/>
    <w:rsid w:val="0B0056DA"/>
    <w:rsid w:val="0B5C2DB3"/>
    <w:rsid w:val="0B664089"/>
    <w:rsid w:val="0B666755"/>
    <w:rsid w:val="0B9362DF"/>
    <w:rsid w:val="0BBC3FAD"/>
    <w:rsid w:val="0BCF786E"/>
    <w:rsid w:val="0C0B585A"/>
    <w:rsid w:val="0C116898"/>
    <w:rsid w:val="0C1F6C93"/>
    <w:rsid w:val="0C683F0B"/>
    <w:rsid w:val="0C783B76"/>
    <w:rsid w:val="0C79253B"/>
    <w:rsid w:val="0C7927C4"/>
    <w:rsid w:val="0C911B2B"/>
    <w:rsid w:val="0CAB373F"/>
    <w:rsid w:val="0CF94109"/>
    <w:rsid w:val="0D107E7B"/>
    <w:rsid w:val="0D185287"/>
    <w:rsid w:val="0D2766C4"/>
    <w:rsid w:val="0DAE2303"/>
    <w:rsid w:val="0DDB0848"/>
    <w:rsid w:val="0E0E51A9"/>
    <w:rsid w:val="0E14552A"/>
    <w:rsid w:val="0E1A36C6"/>
    <w:rsid w:val="0E336CD8"/>
    <w:rsid w:val="0E377A6B"/>
    <w:rsid w:val="0E4D3106"/>
    <w:rsid w:val="0E7616B1"/>
    <w:rsid w:val="0E8A6525"/>
    <w:rsid w:val="0E972280"/>
    <w:rsid w:val="0ED54151"/>
    <w:rsid w:val="0EDF1180"/>
    <w:rsid w:val="0EF6009B"/>
    <w:rsid w:val="0F0F6660"/>
    <w:rsid w:val="0F75504B"/>
    <w:rsid w:val="0FA923E3"/>
    <w:rsid w:val="0FB451A9"/>
    <w:rsid w:val="0FC05C73"/>
    <w:rsid w:val="101A0E45"/>
    <w:rsid w:val="10347723"/>
    <w:rsid w:val="10392996"/>
    <w:rsid w:val="103B70AE"/>
    <w:rsid w:val="10887D92"/>
    <w:rsid w:val="108C4DF2"/>
    <w:rsid w:val="1093484A"/>
    <w:rsid w:val="10BC1C89"/>
    <w:rsid w:val="1102547E"/>
    <w:rsid w:val="112812B5"/>
    <w:rsid w:val="112934B3"/>
    <w:rsid w:val="113301CC"/>
    <w:rsid w:val="113D2984"/>
    <w:rsid w:val="119612B5"/>
    <w:rsid w:val="11C314B3"/>
    <w:rsid w:val="11CB0AF9"/>
    <w:rsid w:val="11D2540D"/>
    <w:rsid w:val="12050A57"/>
    <w:rsid w:val="121015B2"/>
    <w:rsid w:val="12686151"/>
    <w:rsid w:val="128227EB"/>
    <w:rsid w:val="12C46269"/>
    <w:rsid w:val="12C51B43"/>
    <w:rsid w:val="12E219A1"/>
    <w:rsid w:val="12E3158A"/>
    <w:rsid w:val="13031383"/>
    <w:rsid w:val="131D07EE"/>
    <w:rsid w:val="132B7780"/>
    <w:rsid w:val="136043D7"/>
    <w:rsid w:val="13A9697F"/>
    <w:rsid w:val="13D80B9E"/>
    <w:rsid w:val="13E57956"/>
    <w:rsid w:val="13F671B7"/>
    <w:rsid w:val="141A28BF"/>
    <w:rsid w:val="146C6191"/>
    <w:rsid w:val="14C87B63"/>
    <w:rsid w:val="14CE23B0"/>
    <w:rsid w:val="14E15C16"/>
    <w:rsid w:val="14E70D5B"/>
    <w:rsid w:val="1527593A"/>
    <w:rsid w:val="152C1214"/>
    <w:rsid w:val="153E0863"/>
    <w:rsid w:val="157B74B9"/>
    <w:rsid w:val="158201D6"/>
    <w:rsid w:val="159B19FD"/>
    <w:rsid w:val="15A10189"/>
    <w:rsid w:val="15A93224"/>
    <w:rsid w:val="15B7232D"/>
    <w:rsid w:val="15DC6CEA"/>
    <w:rsid w:val="16341072"/>
    <w:rsid w:val="1682138E"/>
    <w:rsid w:val="16873B19"/>
    <w:rsid w:val="168A62F6"/>
    <w:rsid w:val="16933BA9"/>
    <w:rsid w:val="16996480"/>
    <w:rsid w:val="16A82F3A"/>
    <w:rsid w:val="16FB0B11"/>
    <w:rsid w:val="170A48C2"/>
    <w:rsid w:val="172020F6"/>
    <w:rsid w:val="173B3C63"/>
    <w:rsid w:val="17C140C3"/>
    <w:rsid w:val="17CD3B5F"/>
    <w:rsid w:val="17EE1C78"/>
    <w:rsid w:val="184D53D9"/>
    <w:rsid w:val="18CE28C0"/>
    <w:rsid w:val="18E32865"/>
    <w:rsid w:val="18F31412"/>
    <w:rsid w:val="18F86F87"/>
    <w:rsid w:val="19A87F53"/>
    <w:rsid w:val="19B06735"/>
    <w:rsid w:val="19B802BF"/>
    <w:rsid w:val="19BE1F2F"/>
    <w:rsid w:val="19C5471F"/>
    <w:rsid w:val="19FF2BCD"/>
    <w:rsid w:val="1A17542E"/>
    <w:rsid w:val="1A3219C7"/>
    <w:rsid w:val="1A4225DF"/>
    <w:rsid w:val="1A545DD3"/>
    <w:rsid w:val="1ABA0B77"/>
    <w:rsid w:val="1AE31FAA"/>
    <w:rsid w:val="1AE66DC0"/>
    <w:rsid w:val="1AEE23E0"/>
    <w:rsid w:val="1AFE1636"/>
    <w:rsid w:val="1B1501FB"/>
    <w:rsid w:val="1B3D71C1"/>
    <w:rsid w:val="1B951F76"/>
    <w:rsid w:val="1B9F4A8B"/>
    <w:rsid w:val="1BEC03A3"/>
    <w:rsid w:val="1BEE7585"/>
    <w:rsid w:val="1C1C4807"/>
    <w:rsid w:val="1C1E0621"/>
    <w:rsid w:val="1C2E7074"/>
    <w:rsid w:val="1C3773D9"/>
    <w:rsid w:val="1C490109"/>
    <w:rsid w:val="1C6A7ACF"/>
    <w:rsid w:val="1C9722D6"/>
    <w:rsid w:val="1CA86413"/>
    <w:rsid w:val="1CBA7177"/>
    <w:rsid w:val="1CE553A0"/>
    <w:rsid w:val="1CE913FB"/>
    <w:rsid w:val="1D3D2BD1"/>
    <w:rsid w:val="1D477216"/>
    <w:rsid w:val="1D4E4364"/>
    <w:rsid w:val="1D5F5A70"/>
    <w:rsid w:val="1D613643"/>
    <w:rsid w:val="1D790CEA"/>
    <w:rsid w:val="1D7B414C"/>
    <w:rsid w:val="1D865AFB"/>
    <w:rsid w:val="1DA22BBC"/>
    <w:rsid w:val="1DCE2972"/>
    <w:rsid w:val="1DEE4316"/>
    <w:rsid w:val="1DF8338D"/>
    <w:rsid w:val="1E1435F8"/>
    <w:rsid w:val="1E372D9F"/>
    <w:rsid w:val="1E4F703F"/>
    <w:rsid w:val="1E5A0D8D"/>
    <w:rsid w:val="1E817283"/>
    <w:rsid w:val="1E913D35"/>
    <w:rsid w:val="1EA30D9E"/>
    <w:rsid w:val="1EC54C49"/>
    <w:rsid w:val="1EE14CE2"/>
    <w:rsid w:val="1EE82340"/>
    <w:rsid w:val="1EF34658"/>
    <w:rsid w:val="1F056833"/>
    <w:rsid w:val="1F104283"/>
    <w:rsid w:val="1F11772F"/>
    <w:rsid w:val="1F172D7D"/>
    <w:rsid w:val="1F6D7E3A"/>
    <w:rsid w:val="1F6E165D"/>
    <w:rsid w:val="1F71458F"/>
    <w:rsid w:val="1F9053AE"/>
    <w:rsid w:val="1FB75D16"/>
    <w:rsid w:val="1FEE3DA3"/>
    <w:rsid w:val="2046687E"/>
    <w:rsid w:val="206032ED"/>
    <w:rsid w:val="2072796C"/>
    <w:rsid w:val="20763531"/>
    <w:rsid w:val="209E41C7"/>
    <w:rsid w:val="20C12A38"/>
    <w:rsid w:val="20D05716"/>
    <w:rsid w:val="211C7F42"/>
    <w:rsid w:val="21644AD8"/>
    <w:rsid w:val="217B431E"/>
    <w:rsid w:val="21877151"/>
    <w:rsid w:val="21C41AE4"/>
    <w:rsid w:val="21DC7C19"/>
    <w:rsid w:val="21DD349D"/>
    <w:rsid w:val="21E7182E"/>
    <w:rsid w:val="21E76F54"/>
    <w:rsid w:val="220C4202"/>
    <w:rsid w:val="222570F1"/>
    <w:rsid w:val="222D3305"/>
    <w:rsid w:val="22367999"/>
    <w:rsid w:val="22444146"/>
    <w:rsid w:val="2261436F"/>
    <w:rsid w:val="227646B1"/>
    <w:rsid w:val="228B4258"/>
    <w:rsid w:val="22B02267"/>
    <w:rsid w:val="22B97429"/>
    <w:rsid w:val="22C479DE"/>
    <w:rsid w:val="22C70A11"/>
    <w:rsid w:val="22D94639"/>
    <w:rsid w:val="233C4D5D"/>
    <w:rsid w:val="233E2A2E"/>
    <w:rsid w:val="2378543C"/>
    <w:rsid w:val="239C7BFA"/>
    <w:rsid w:val="23B76226"/>
    <w:rsid w:val="23C154DD"/>
    <w:rsid w:val="23FD0F19"/>
    <w:rsid w:val="243C7737"/>
    <w:rsid w:val="243F2E36"/>
    <w:rsid w:val="245313FA"/>
    <w:rsid w:val="2465202F"/>
    <w:rsid w:val="24A73D1F"/>
    <w:rsid w:val="24B27742"/>
    <w:rsid w:val="24BF3BA8"/>
    <w:rsid w:val="24E87F68"/>
    <w:rsid w:val="25452156"/>
    <w:rsid w:val="258778A8"/>
    <w:rsid w:val="25996718"/>
    <w:rsid w:val="259D158E"/>
    <w:rsid w:val="25A31DD5"/>
    <w:rsid w:val="25C852A4"/>
    <w:rsid w:val="25ED29C6"/>
    <w:rsid w:val="2617030E"/>
    <w:rsid w:val="264D28A0"/>
    <w:rsid w:val="26CA0D6F"/>
    <w:rsid w:val="26D10020"/>
    <w:rsid w:val="26DB7D22"/>
    <w:rsid w:val="26E90873"/>
    <w:rsid w:val="26F37BEC"/>
    <w:rsid w:val="27255A0A"/>
    <w:rsid w:val="273762AA"/>
    <w:rsid w:val="273C14DC"/>
    <w:rsid w:val="27655A7F"/>
    <w:rsid w:val="27D1005E"/>
    <w:rsid w:val="27DD62E3"/>
    <w:rsid w:val="27E95370"/>
    <w:rsid w:val="28037FA1"/>
    <w:rsid w:val="28167DD4"/>
    <w:rsid w:val="281B179A"/>
    <w:rsid w:val="282D79F9"/>
    <w:rsid w:val="2857083D"/>
    <w:rsid w:val="28680AD8"/>
    <w:rsid w:val="286B015D"/>
    <w:rsid w:val="28B54148"/>
    <w:rsid w:val="28CD627E"/>
    <w:rsid w:val="28E148D3"/>
    <w:rsid w:val="28F12FBA"/>
    <w:rsid w:val="29151EF5"/>
    <w:rsid w:val="29643C83"/>
    <w:rsid w:val="29855A2C"/>
    <w:rsid w:val="299327C4"/>
    <w:rsid w:val="29A949F2"/>
    <w:rsid w:val="29C83EDE"/>
    <w:rsid w:val="29DA5136"/>
    <w:rsid w:val="2A5561C7"/>
    <w:rsid w:val="2A66059D"/>
    <w:rsid w:val="2B0A5828"/>
    <w:rsid w:val="2B142A9B"/>
    <w:rsid w:val="2B2B6A85"/>
    <w:rsid w:val="2B317502"/>
    <w:rsid w:val="2B336E05"/>
    <w:rsid w:val="2B62600A"/>
    <w:rsid w:val="2BAA31B3"/>
    <w:rsid w:val="2BC26D9E"/>
    <w:rsid w:val="2BDA267D"/>
    <w:rsid w:val="2C120DFB"/>
    <w:rsid w:val="2C470693"/>
    <w:rsid w:val="2C6E60F5"/>
    <w:rsid w:val="2C884AC9"/>
    <w:rsid w:val="2CA23BCA"/>
    <w:rsid w:val="2CBD0053"/>
    <w:rsid w:val="2CE81574"/>
    <w:rsid w:val="2D067BEC"/>
    <w:rsid w:val="2D07786C"/>
    <w:rsid w:val="2D0E1065"/>
    <w:rsid w:val="2D1D7812"/>
    <w:rsid w:val="2D2E332F"/>
    <w:rsid w:val="2D5B23AA"/>
    <w:rsid w:val="2D60068C"/>
    <w:rsid w:val="2D8E0DCA"/>
    <w:rsid w:val="2D982987"/>
    <w:rsid w:val="2DA354EC"/>
    <w:rsid w:val="2E222960"/>
    <w:rsid w:val="2E3F6C20"/>
    <w:rsid w:val="2E6241C8"/>
    <w:rsid w:val="2E654F44"/>
    <w:rsid w:val="2E6B569B"/>
    <w:rsid w:val="2E735BC5"/>
    <w:rsid w:val="2E824B5A"/>
    <w:rsid w:val="2EBE07DF"/>
    <w:rsid w:val="2EC15BD9"/>
    <w:rsid w:val="2EFC6A22"/>
    <w:rsid w:val="2EFD4F49"/>
    <w:rsid w:val="2F131782"/>
    <w:rsid w:val="2F417F0C"/>
    <w:rsid w:val="2F910C40"/>
    <w:rsid w:val="2FC126EC"/>
    <w:rsid w:val="301E7DFF"/>
    <w:rsid w:val="30244A9C"/>
    <w:rsid w:val="302F24EF"/>
    <w:rsid w:val="30410D55"/>
    <w:rsid w:val="305B1BAF"/>
    <w:rsid w:val="30D062CD"/>
    <w:rsid w:val="30D26997"/>
    <w:rsid w:val="30E56EDC"/>
    <w:rsid w:val="3100167D"/>
    <w:rsid w:val="310622FB"/>
    <w:rsid w:val="311A1638"/>
    <w:rsid w:val="3175173C"/>
    <w:rsid w:val="31946A67"/>
    <w:rsid w:val="31B20215"/>
    <w:rsid w:val="31F67A05"/>
    <w:rsid w:val="32090944"/>
    <w:rsid w:val="32211B4E"/>
    <w:rsid w:val="322B021E"/>
    <w:rsid w:val="324D0D7D"/>
    <w:rsid w:val="32B92FC6"/>
    <w:rsid w:val="32C154AA"/>
    <w:rsid w:val="32C325DA"/>
    <w:rsid w:val="32F444EA"/>
    <w:rsid w:val="332A001D"/>
    <w:rsid w:val="33372693"/>
    <w:rsid w:val="335C27CF"/>
    <w:rsid w:val="33A21C9A"/>
    <w:rsid w:val="33CC3245"/>
    <w:rsid w:val="34176785"/>
    <w:rsid w:val="34293C06"/>
    <w:rsid w:val="344E6FDD"/>
    <w:rsid w:val="34565015"/>
    <w:rsid w:val="34565D9D"/>
    <w:rsid w:val="34841338"/>
    <w:rsid w:val="34881F3C"/>
    <w:rsid w:val="34A30F0E"/>
    <w:rsid w:val="34B124FF"/>
    <w:rsid w:val="34C47118"/>
    <w:rsid w:val="34E875C7"/>
    <w:rsid w:val="35137922"/>
    <w:rsid w:val="353A2B45"/>
    <w:rsid w:val="35455B73"/>
    <w:rsid w:val="35847960"/>
    <w:rsid w:val="35893863"/>
    <w:rsid w:val="361C0AFD"/>
    <w:rsid w:val="363A185F"/>
    <w:rsid w:val="363B563B"/>
    <w:rsid w:val="363D783F"/>
    <w:rsid w:val="364D6A4A"/>
    <w:rsid w:val="36667F4C"/>
    <w:rsid w:val="366C0D41"/>
    <w:rsid w:val="36742808"/>
    <w:rsid w:val="367A5F70"/>
    <w:rsid w:val="36824B9C"/>
    <w:rsid w:val="36832FFC"/>
    <w:rsid w:val="3692436C"/>
    <w:rsid w:val="369C735A"/>
    <w:rsid w:val="36C54F61"/>
    <w:rsid w:val="36EA771D"/>
    <w:rsid w:val="36FA64BE"/>
    <w:rsid w:val="36FD79CA"/>
    <w:rsid w:val="37381826"/>
    <w:rsid w:val="374643BF"/>
    <w:rsid w:val="37476E6B"/>
    <w:rsid w:val="378828AA"/>
    <w:rsid w:val="378F5548"/>
    <w:rsid w:val="37977271"/>
    <w:rsid w:val="37987437"/>
    <w:rsid w:val="37D646E1"/>
    <w:rsid w:val="381B3F7A"/>
    <w:rsid w:val="3831783F"/>
    <w:rsid w:val="383D10D3"/>
    <w:rsid w:val="386A0C9E"/>
    <w:rsid w:val="38847E92"/>
    <w:rsid w:val="389152DA"/>
    <w:rsid w:val="38C83236"/>
    <w:rsid w:val="38DE53D9"/>
    <w:rsid w:val="390B6CEE"/>
    <w:rsid w:val="392023C5"/>
    <w:rsid w:val="39336168"/>
    <w:rsid w:val="39484E09"/>
    <w:rsid w:val="394E45C5"/>
    <w:rsid w:val="395202FF"/>
    <w:rsid w:val="39D46BEB"/>
    <w:rsid w:val="3A2669F5"/>
    <w:rsid w:val="3A3C74B4"/>
    <w:rsid w:val="3A3E27D3"/>
    <w:rsid w:val="3A425CFB"/>
    <w:rsid w:val="3A5F79E6"/>
    <w:rsid w:val="3A6D2B2C"/>
    <w:rsid w:val="3A7E52C6"/>
    <w:rsid w:val="3AB81953"/>
    <w:rsid w:val="3ABB4CF7"/>
    <w:rsid w:val="3AD02804"/>
    <w:rsid w:val="3AEF3EC0"/>
    <w:rsid w:val="3AF86D4E"/>
    <w:rsid w:val="3B3D2A1F"/>
    <w:rsid w:val="3B7D5180"/>
    <w:rsid w:val="3B827362"/>
    <w:rsid w:val="3B846B7A"/>
    <w:rsid w:val="3B993054"/>
    <w:rsid w:val="3BB85B07"/>
    <w:rsid w:val="3BC44F5A"/>
    <w:rsid w:val="3BF5376E"/>
    <w:rsid w:val="3C2B322B"/>
    <w:rsid w:val="3C5B3C6B"/>
    <w:rsid w:val="3C65652D"/>
    <w:rsid w:val="3C9237E9"/>
    <w:rsid w:val="3C946BEB"/>
    <w:rsid w:val="3CA00F52"/>
    <w:rsid w:val="3CA75790"/>
    <w:rsid w:val="3CED5A3B"/>
    <w:rsid w:val="3CFC7847"/>
    <w:rsid w:val="3CFF5E1E"/>
    <w:rsid w:val="3D3B0DDF"/>
    <w:rsid w:val="3D870F02"/>
    <w:rsid w:val="3E120265"/>
    <w:rsid w:val="3E1B314F"/>
    <w:rsid w:val="3E2D23D6"/>
    <w:rsid w:val="3E3F6CCA"/>
    <w:rsid w:val="3E546A69"/>
    <w:rsid w:val="3E6135F4"/>
    <w:rsid w:val="3E932D12"/>
    <w:rsid w:val="3E956359"/>
    <w:rsid w:val="3E987ECE"/>
    <w:rsid w:val="3EA70758"/>
    <w:rsid w:val="3EFC5C64"/>
    <w:rsid w:val="3F1049E5"/>
    <w:rsid w:val="3F246731"/>
    <w:rsid w:val="3F433E5A"/>
    <w:rsid w:val="3F767B2C"/>
    <w:rsid w:val="3F9C4E89"/>
    <w:rsid w:val="40547059"/>
    <w:rsid w:val="405902C6"/>
    <w:rsid w:val="406C6770"/>
    <w:rsid w:val="40CF0E06"/>
    <w:rsid w:val="40D04955"/>
    <w:rsid w:val="412052B3"/>
    <w:rsid w:val="414C3236"/>
    <w:rsid w:val="414F2C77"/>
    <w:rsid w:val="41535DB8"/>
    <w:rsid w:val="41BF069E"/>
    <w:rsid w:val="41C377ED"/>
    <w:rsid w:val="41C52874"/>
    <w:rsid w:val="41D279BE"/>
    <w:rsid w:val="422F5266"/>
    <w:rsid w:val="423F253E"/>
    <w:rsid w:val="424E080B"/>
    <w:rsid w:val="42570A10"/>
    <w:rsid w:val="42920CC3"/>
    <w:rsid w:val="42A2549A"/>
    <w:rsid w:val="42C6635A"/>
    <w:rsid w:val="42CD0EA8"/>
    <w:rsid w:val="42DE6BC4"/>
    <w:rsid w:val="42FE1677"/>
    <w:rsid w:val="4300669C"/>
    <w:rsid w:val="430345BA"/>
    <w:rsid w:val="433A5C59"/>
    <w:rsid w:val="43423065"/>
    <w:rsid w:val="437B6298"/>
    <w:rsid w:val="438F08E9"/>
    <w:rsid w:val="43907AAB"/>
    <w:rsid w:val="43D17004"/>
    <w:rsid w:val="43DA5C5F"/>
    <w:rsid w:val="43E23A8B"/>
    <w:rsid w:val="44293FF9"/>
    <w:rsid w:val="446C6A68"/>
    <w:rsid w:val="44706517"/>
    <w:rsid w:val="4503405A"/>
    <w:rsid w:val="452E518F"/>
    <w:rsid w:val="4545681E"/>
    <w:rsid w:val="454702B7"/>
    <w:rsid w:val="455C2158"/>
    <w:rsid w:val="45651A65"/>
    <w:rsid w:val="456E0EE9"/>
    <w:rsid w:val="45757B02"/>
    <w:rsid w:val="45836413"/>
    <w:rsid w:val="45B32E6A"/>
    <w:rsid w:val="461807D7"/>
    <w:rsid w:val="46233A93"/>
    <w:rsid w:val="463065F6"/>
    <w:rsid w:val="46423A3B"/>
    <w:rsid w:val="465164CD"/>
    <w:rsid w:val="465700F4"/>
    <w:rsid w:val="465B35B4"/>
    <w:rsid w:val="468A764A"/>
    <w:rsid w:val="4691544D"/>
    <w:rsid w:val="46AF5BCE"/>
    <w:rsid w:val="46BE5447"/>
    <w:rsid w:val="46C4751C"/>
    <w:rsid w:val="46E44EC7"/>
    <w:rsid w:val="46E56A5F"/>
    <w:rsid w:val="46FA33B2"/>
    <w:rsid w:val="46FE3D85"/>
    <w:rsid w:val="475E02E8"/>
    <w:rsid w:val="47624569"/>
    <w:rsid w:val="479E3C8F"/>
    <w:rsid w:val="47B408FD"/>
    <w:rsid w:val="47C812A9"/>
    <w:rsid w:val="47DD439D"/>
    <w:rsid w:val="47F4486C"/>
    <w:rsid w:val="48020130"/>
    <w:rsid w:val="480B6841"/>
    <w:rsid w:val="480F7417"/>
    <w:rsid w:val="48242B78"/>
    <w:rsid w:val="48630809"/>
    <w:rsid w:val="4868266F"/>
    <w:rsid w:val="4951655A"/>
    <w:rsid w:val="497C541E"/>
    <w:rsid w:val="499253C3"/>
    <w:rsid w:val="49B764FC"/>
    <w:rsid w:val="49DF4EBA"/>
    <w:rsid w:val="49E41279"/>
    <w:rsid w:val="49E573CC"/>
    <w:rsid w:val="4A397DC3"/>
    <w:rsid w:val="4A5C53CA"/>
    <w:rsid w:val="4A6E7363"/>
    <w:rsid w:val="4A9174E4"/>
    <w:rsid w:val="4AC16C04"/>
    <w:rsid w:val="4AD239F8"/>
    <w:rsid w:val="4AE20C46"/>
    <w:rsid w:val="4B102B0C"/>
    <w:rsid w:val="4B3A6678"/>
    <w:rsid w:val="4B4E311B"/>
    <w:rsid w:val="4B66090B"/>
    <w:rsid w:val="4B6C26CB"/>
    <w:rsid w:val="4B6E176F"/>
    <w:rsid w:val="4BBD33CE"/>
    <w:rsid w:val="4BCC13F5"/>
    <w:rsid w:val="4BFD5D8E"/>
    <w:rsid w:val="4C017B05"/>
    <w:rsid w:val="4C3B0AD8"/>
    <w:rsid w:val="4C5A4CC2"/>
    <w:rsid w:val="4C5F15AB"/>
    <w:rsid w:val="4C7A5BF9"/>
    <w:rsid w:val="4C927A4A"/>
    <w:rsid w:val="4C982217"/>
    <w:rsid w:val="4CB5540A"/>
    <w:rsid w:val="4CBE53F2"/>
    <w:rsid w:val="4CE75EF6"/>
    <w:rsid w:val="4CED3AC0"/>
    <w:rsid w:val="4CF14931"/>
    <w:rsid w:val="4CF93156"/>
    <w:rsid w:val="4CFF5CF5"/>
    <w:rsid w:val="4D0E72AE"/>
    <w:rsid w:val="4D143D6E"/>
    <w:rsid w:val="4D1E2546"/>
    <w:rsid w:val="4D3E4E5A"/>
    <w:rsid w:val="4D3F3CC3"/>
    <w:rsid w:val="4D517068"/>
    <w:rsid w:val="4D665D11"/>
    <w:rsid w:val="4D895D66"/>
    <w:rsid w:val="4DAC36AC"/>
    <w:rsid w:val="4DB248F6"/>
    <w:rsid w:val="4DD61FCC"/>
    <w:rsid w:val="4DE904E0"/>
    <w:rsid w:val="4DF1057D"/>
    <w:rsid w:val="4E141DF1"/>
    <w:rsid w:val="4E370378"/>
    <w:rsid w:val="4E732BD8"/>
    <w:rsid w:val="4E782B03"/>
    <w:rsid w:val="4E7B184A"/>
    <w:rsid w:val="4E847C71"/>
    <w:rsid w:val="4EBB0839"/>
    <w:rsid w:val="4EDA5C7C"/>
    <w:rsid w:val="4EE05B1D"/>
    <w:rsid w:val="4F13254C"/>
    <w:rsid w:val="4F3B1580"/>
    <w:rsid w:val="4F537AB2"/>
    <w:rsid w:val="4F58603C"/>
    <w:rsid w:val="4F620E30"/>
    <w:rsid w:val="4F624EF6"/>
    <w:rsid w:val="4F637D4D"/>
    <w:rsid w:val="4F8E345D"/>
    <w:rsid w:val="4F990227"/>
    <w:rsid w:val="4FB52C12"/>
    <w:rsid w:val="504323CD"/>
    <w:rsid w:val="5059155E"/>
    <w:rsid w:val="506875FB"/>
    <w:rsid w:val="50A16CA6"/>
    <w:rsid w:val="50A83F1D"/>
    <w:rsid w:val="50B26D75"/>
    <w:rsid w:val="50D137D5"/>
    <w:rsid w:val="50D73FF0"/>
    <w:rsid w:val="50D80413"/>
    <w:rsid w:val="514327E1"/>
    <w:rsid w:val="51571AC4"/>
    <w:rsid w:val="51647E65"/>
    <w:rsid w:val="517E7101"/>
    <w:rsid w:val="51935A63"/>
    <w:rsid w:val="51C13FBE"/>
    <w:rsid w:val="51C752AD"/>
    <w:rsid w:val="51CD260D"/>
    <w:rsid w:val="51DD32B1"/>
    <w:rsid w:val="521220F6"/>
    <w:rsid w:val="52400C67"/>
    <w:rsid w:val="524336DF"/>
    <w:rsid w:val="526B5AC6"/>
    <w:rsid w:val="526E43A0"/>
    <w:rsid w:val="52750905"/>
    <w:rsid w:val="52A336A2"/>
    <w:rsid w:val="52AB0798"/>
    <w:rsid w:val="52CA226C"/>
    <w:rsid w:val="52CC7522"/>
    <w:rsid w:val="52F8589F"/>
    <w:rsid w:val="52FD3EE8"/>
    <w:rsid w:val="53502E56"/>
    <w:rsid w:val="53516761"/>
    <w:rsid w:val="536454E8"/>
    <w:rsid w:val="53852110"/>
    <w:rsid w:val="538606D4"/>
    <w:rsid w:val="539359BE"/>
    <w:rsid w:val="53B85210"/>
    <w:rsid w:val="53EC0FAF"/>
    <w:rsid w:val="54096E8C"/>
    <w:rsid w:val="54234E18"/>
    <w:rsid w:val="542D727D"/>
    <w:rsid w:val="5435510F"/>
    <w:rsid w:val="54D648BB"/>
    <w:rsid w:val="54D920AE"/>
    <w:rsid w:val="54DF2FCC"/>
    <w:rsid w:val="54F80627"/>
    <w:rsid w:val="55362C2B"/>
    <w:rsid w:val="55404A70"/>
    <w:rsid w:val="55583B90"/>
    <w:rsid w:val="555E131C"/>
    <w:rsid w:val="557E616E"/>
    <w:rsid w:val="559519E9"/>
    <w:rsid w:val="55A21A11"/>
    <w:rsid w:val="55A53C8F"/>
    <w:rsid w:val="55C51FC5"/>
    <w:rsid w:val="55F0785B"/>
    <w:rsid w:val="56141D44"/>
    <w:rsid w:val="56206E5C"/>
    <w:rsid w:val="564A221E"/>
    <w:rsid w:val="56666849"/>
    <w:rsid w:val="5678070D"/>
    <w:rsid w:val="56D57C04"/>
    <w:rsid w:val="56E968A5"/>
    <w:rsid w:val="56F20E16"/>
    <w:rsid w:val="57000432"/>
    <w:rsid w:val="57563306"/>
    <w:rsid w:val="57844A61"/>
    <w:rsid w:val="57A046B8"/>
    <w:rsid w:val="57B04FE9"/>
    <w:rsid w:val="57FD096B"/>
    <w:rsid w:val="58124E7E"/>
    <w:rsid w:val="5825082B"/>
    <w:rsid w:val="58435145"/>
    <w:rsid w:val="587971CE"/>
    <w:rsid w:val="588D4B10"/>
    <w:rsid w:val="58ED1D77"/>
    <w:rsid w:val="58F8495E"/>
    <w:rsid w:val="590E18ED"/>
    <w:rsid w:val="593D12F7"/>
    <w:rsid w:val="59617E35"/>
    <w:rsid w:val="5992513B"/>
    <w:rsid w:val="59941D06"/>
    <w:rsid w:val="59A01B41"/>
    <w:rsid w:val="59A15799"/>
    <w:rsid w:val="59B660FE"/>
    <w:rsid w:val="59DE2648"/>
    <w:rsid w:val="59ED7002"/>
    <w:rsid w:val="5A1F3552"/>
    <w:rsid w:val="5A76552B"/>
    <w:rsid w:val="5AB81CD6"/>
    <w:rsid w:val="5AC02D0D"/>
    <w:rsid w:val="5ACE15D8"/>
    <w:rsid w:val="5AF64A35"/>
    <w:rsid w:val="5B24753E"/>
    <w:rsid w:val="5B6836FC"/>
    <w:rsid w:val="5B933DD4"/>
    <w:rsid w:val="5BBB130B"/>
    <w:rsid w:val="5BBC4B8E"/>
    <w:rsid w:val="5BDF6048"/>
    <w:rsid w:val="5BFA0755"/>
    <w:rsid w:val="5C3777A0"/>
    <w:rsid w:val="5C5D6756"/>
    <w:rsid w:val="5C6723D0"/>
    <w:rsid w:val="5C702A5B"/>
    <w:rsid w:val="5CE323F2"/>
    <w:rsid w:val="5CEB19FD"/>
    <w:rsid w:val="5D346490"/>
    <w:rsid w:val="5D813AEB"/>
    <w:rsid w:val="5D982259"/>
    <w:rsid w:val="5D9B7838"/>
    <w:rsid w:val="5DB75574"/>
    <w:rsid w:val="5DB91FED"/>
    <w:rsid w:val="5DE70783"/>
    <w:rsid w:val="5E097C56"/>
    <w:rsid w:val="5E96130D"/>
    <w:rsid w:val="5EA5347A"/>
    <w:rsid w:val="5EAC2CE3"/>
    <w:rsid w:val="5EBC4145"/>
    <w:rsid w:val="5EC1455A"/>
    <w:rsid w:val="5ED837A7"/>
    <w:rsid w:val="5F332BBC"/>
    <w:rsid w:val="5F3715C2"/>
    <w:rsid w:val="5F3B5A4A"/>
    <w:rsid w:val="5F442401"/>
    <w:rsid w:val="5F6419DC"/>
    <w:rsid w:val="5F6D4A22"/>
    <w:rsid w:val="5F6F7CA1"/>
    <w:rsid w:val="5F880A48"/>
    <w:rsid w:val="5FDC3E85"/>
    <w:rsid w:val="601F5526"/>
    <w:rsid w:val="603944E1"/>
    <w:rsid w:val="604E4367"/>
    <w:rsid w:val="60595747"/>
    <w:rsid w:val="60661CB4"/>
    <w:rsid w:val="60766139"/>
    <w:rsid w:val="608049EB"/>
    <w:rsid w:val="60812F71"/>
    <w:rsid w:val="609A6C8B"/>
    <w:rsid w:val="60CA5C5B"/>
    <w:rsid w:val="60E40384"/>
    <w:rsid w:val="60E5175C"/>
    <w:rsid w:val="60EB69F2"/>
    <w:rsid w:val="613418ED"/>
    <w:rsid w:val="6136552E"/>
    <w:rsid w:val="613A0D93"/>
    <w:rsid w:val="61610105"/>
    <w:rsid w:val="618A4767"/>
    <w:rsid w:val="61954924"/>
    <w:rsid w:val="619A1555"/>
    <w:rsid w:val="61F3273F"/>
    <w:rsid w:val="620826E5"/>
    <w:rsid w:val="620D4D2A"/>
    <w:rsid w:val="62176BD9"/>
    <w:rsid w:val="62250781"/>
    <w:rsid w:val="62486BCC"/>
    <w:rsid w:val="629E602C"/>
    <w:rsid w:val="62B6741A"/>
    <w:rsid w:val="62BB1F75"/>
    <w:rsid w:val="630B0025"/>
    <w:rsid w:val="632366B5"/>
    <w:rsid w:val="63302147"/>
    <w:rsid w:val="636B6AA9"/>
    <w:rsid w:val="638A3ADA"/>
    <w:rsid w:val="63BC45E5"/>
    <w:rsid w:val="63BE46AF"/>
    <w:rsid w:val="63FD3F03"/>
    <w:rsid w:val="642104F5"/>
    <w:rsid w:val="64276DF4"/>
    <w:rsid w:val="647A0E64"/>
    <w:rsid w:val="64803619"/>
    <w:rsid w:val="648E5907"/>
    <w:rsid w:val="64A010A4"/>
    <w:rsid w:val="64DA0DDE"/>
    <w:rsid w:val="651F307E"/>
    <w:rsid w:val="653603C7"/>
    <w:rsid w:val="65703D66"/>
    <w:rsid w:val="657C502B"/>
    <w:rsid w:val="657E127B"/>
    <w:rsid w:val="65953340"/>
    <w:rsid w:val="65E90142"/>
    <w:rsid w:val="662616A0"/>
    <w:rsid w:val="6648015B"/>
    <w:rsid w:val="664C0236"/>
    <w:rsid w:val="667F5FA5"/>
    <w:rsid w:val="66B5634D"/>
    <w:rsid w:val="66D505DD"/>
    <w:rsid w:val="66DD77F7"/>
    <w:rsid w:val="676F59BF"/>
    <w:rsid w:val="679A6900"/>
    <w:rsid w:val="67E32102"/>
    <w:rsid w:val="67EE5056"/>
    <w:rsid w:val="67FF3017"/>
    <w:rsid w:val="68033CB4"/>
    <w:rsid w:val="681A70CF"/>
    <w:rsid w:val="68470C85"/>
    <w:rsid w:val="6867649D"/>
    <w:rsid w:val="688B0763"/>
    <w:rsid w:val="68A1390E"/>
    <w:rsid w:val="69366D06"/>
    <w:rsid w:val="693F2B9B"/>
    <w:rsid w:val="69434640"/>
    <w:rsid w:val="694542C0"/>
    <w:rsid w:val="69760313"/>
    <w:rsid w:val="69D37795"/>
    <w:rsid w:val="69DA57C5"/>
    <w:rsid w:val="69F3315F"/>
    <w:rsid w:val="6A0A6494"/>
    <w:rsid w:val="6A2007AB"/>
    <w:rsid w:val="6A3C0A16"/>
    <w:rsid w:val="6A40330A"/>
    <w:rsid w:val="6A7428DF"/>
    <w:rsid w:val="6AE933C5"/>
    <w:rsid w:val="6AF30294"/>
    <w:rsid w:val="6B161F4B"/>
    <w:rsid w:val="6B3E2A69"/>
    <w:rsid w:val="6B434100"/>
    <w:rsid w:val="6B456D52"/>
    <w:rsid w:val="6B663041"/>
    <w:rsid w:val="6B7A7E54"/>
    <w:rsid w:val="6BC03116"/>
    <w:rsid w:val="6BCD11D7"/>
    <w:rsid w:val="6BE100EB"/>
    <w:rsid w:val="6BF37D4B"/>
    <w:rsid w:val="6BF44352"/>
    <w:rsid w:val="6C132A6D"/>
    <w:rsid w:val="6C3C0BA8"/>
    <w:rsid w:val="6C4C58BD"/>
    <w:rsid w:val="6C901D4E"/>
    <w:rsid w:val="6CBF6AF6"/>
    <w:rsid w:val="6CE91505"/>
    <w:rsid w:val="6CF255B7"/>
    <w:rsid w:val="6D034A65"/>
    <w:rsid w:val="6D342338"/>
    <w:rsid w:val="6D3A1CC2"/>
    <w:rsid w:val="6DA322E1"/>
    <w:rsid w:val="6DB30687"/>
    <w:rsid w:val="6E0509D7"/>
    <w:rsid w:val="6E055466"/>
    <w:rsid w:val="6E170CD7"/>
    <w:rsid w:val="6E3C13F9"/>
    <w:rsid w:val="6E605061"/>
    <w:rsid w:val="6E8F6D71"/>
    <w:rsid w:val="6EAB2E1E"/>
    <w:rsid w:val="6EBC7AD2"/>
    <w:rsid w:val="6EF31CFB"/>
    <w:rsid w:val="6F080FB9"/>
    <w:rsid w:val="6F51652A"/>
    <w:rsid w:val="6F726EC6"/>
    <w:rsid w:val="6F7C5EF4"/>
    <w:rsid w:val="6F997223"/>
    <w:rsid w:val="6FB045F0"/>
    <w:rsid w:val="6FD85E0E"/>
    <w:rsid w:val="6FF56FA9"/>
    <w:rsid w:val="6FFF2715"/>
    <w:rsid w:val="70020AE3"/>
    <w:rsid w:val="70124ED7"/>
    <w:rsid w:val="706C2B4D"/>
    <w:rsid w:val="708E7E5A"/>
    <w:rsid w:val="709631B3"/>
    <w:rsid w:val="70971E04"/>
    <w:rsid w:val="70A408DB"/>
    <w:rsid w:val="70F521A3"/>
    <w:rsid w:val="710B7F28"/>
    <w:rsid w:val="711C142C"/>
    <w:rsid w:val="71224B2C"/>
    <w:rsid w:val="713F2DD7"/>
    <w:rsid w:val="716E41BB"/>
    <w:rsid w:val="71B5409B"/>
    <w:rsid w:val="71F60387"/>
    <w:rsid w:val="722978DD"/>
    <w:rsid w:val="723423EA"/>
    <w:rsid w:val="7237336F"/>
    <w:rsid w:val="72422A05"/>
    <w:rsid w:val="72453989"/>
    <w:rsid w:val="726D59D0"/>
    <w:rsid w:val="72905049"/>
    <w:rsid w:val="72F94009"/>
    <w:rsid w:val="73025524"/>
    <w:rsid w:val="73576115"/>
    <w:rsid w:val="73DE2E4B"/>
    <w:rsid w:val="74196D88"/>
    <w:rsid w:val="745436E9"/>
    <w:rsid w:val="748C30D6"/>
    <w:rsid w:val="74910F72"/>
    <w:rsid w:val="754C1604"/>
    <w:rsid w:val="755F4EA1"/>
    <w:rsid w:val="75B579C9"/>
    <w:rsid w:val="75D5701F"/>
    <w:rsid w:val="75DD08F5"/>
    <w:rsid w:val="760442A1"/>
    <w:rsid w:val="76313BC2"/>
    <w:rsid w:val="763A5BE5"/>
    <w:rsid w:val="765C149A"/>
    <w:rsid w:val="76B16F6E"/>
    <w:rsid w:val="76C26CE6"/>
    <w:rsid w:val="76CC3D72"/>
    <w:rsid w:val="76D214FF"/>
    <w:rsid w:val="76DA7A97"/>
    <w:rsid w:val="77003E52"/>
    <w:rsid w:val="77381796"/>
    <w:rsid w:val="77511142"/>
    <w:rsid w:val="77583DB8"/>
    <w:rsid w:val="77881F27"/>
    <w:rsid w:val="779D14EF"/>
    <w:rsid w:val="77B37A4A"/>
    <w:rsid w:val="77C62480"/>
    <w:rsid w:val="77F374B5"/>
    <w:rsid w:val="785D0388"/>
    <w:rsid w:val="78787CEC"/>
    <w:rsid w:val="7892370F"/>
    <w:rsid w:val="78C47730"/>
    <w:rsid w:val="78CE0040"/>
    <w:rsid w:val="78D51BC9"/>
    <w:rsid w:val="78F470C8"/>
    <w:rsid w:val="78F544DF"/>
    <w:rsid w:val="78F57EFF"/>
    <w:rsid w:val="78F73E07"/>
    <w:rsid w:val="790D1AE5"/>
    <w:rsid w:val="79236131"/>
    <w:rsid w:val="79376225"/>
    <w:rsid w:val="795E34D3"/>
    <w:rsid w:val="796D46C6"/>
    <w:rsid w:val="79A35F22"/>
    <w:rsid w:val="79EE5F19"/>
    <w:rsid w:val="79FE686B"/>
    <w:rsid w:val="7A140357"/>
    <w:rsid w:val="7A6B3C9D"/>
    <w:rsid w:val="7A723ABF"/>
    <w:rsid w:val="7A9D64D7"/>
    <w:rsid w:val="7AB37EE9"/>
    <w:rsid w:val="7AED006A"/>
    <w:rsid w:val="7B01255E"/>
    <w:rsid w:val="7B1B4E61"/>
    <w:rsid w:val="7B613181"/>
    <w:rsid w:val="7BC13896"/>
    <w:rsid w:val="7BCA1FA7"/>
    <w:rsid w:val="7BD94624"/>
    <w:rsid w:val="7BDF7740"/>
    <w:rsid w:val="7C040591"/>
    <w:rsid w:val="7C1E7A0C"/>
    <w:rsid w:val="7C3228D0"/>
    <w:rsid w:val="7C3841E7"/>
    <w:rsid w:val="7C5809F2"/>
    <w:rsid w:val="7C9B0E35"/>
    <w:rsid w:val="7C9F1959"/>
    <w:rsid w:val="7CAF1A18"/>
    <w:rsid w:val="7CBC0009"/>
    <w:rsid w:val="7CBD49A9"/>
    <w:rsid w:val="7D0A6AAF"/>
    <w:rsid w:val="7D0D1339"/>
    <w:rsid w:val="7D171C49"/>
    <w:rsid w:val="7D273647"/>
    <w:rsid w:val="7D504145"/>
    <w:rsid w:val="7D7659DE"/>
    <w:rsid w:val="7DC64D97"/>
    <w:rsid w:val="7DD37FDD"/>
    <w:rsid w:val="7DF97F13"/>
    <w:rsid w:val="7E1F5E31"/>
    <w:rsid w:val="7E3215D2"/>
    <w:rsid w:val="7E4E5655"/>
    <w:rsid w:val="7E5915A3"/>
    <w:rsid w:val="7E7818D1"/>
    <w:rsid w:val="7E7C4C45"/>
    <w:rsid w:val="7E9A34B4"/>
    <w:rsid w:val="7EA90D5A"/>
    <w:rsid w:val="7EC474A0"/>
    <w:rsid w:val="7EF16320"/>
    <w:rsid w:val="7EF66C5B"/>
    <w:rsid w:val="7F235D7F"/>
    <w:rsid w:val="7F32291E"/>
    <w:rsid w:val="7F4A2B06"/>
    <w:rsid w:val="7F62060E"/>
    <w:rsid w:val="7F950052"/>
    <w:rsid w:val="7FA37A30"/>
    <w:rsid w:val="7FC14AF5"/>
    <w:rsid w:val="7FC83465"/>
    <w:rsid w:val="7FD178C3"/>
    <w:rsid w:val="7FD563E7"/>
    <w:rsid w:val="7FE21CA4"/>
    <w:rsid w:val="7FE377DD"/>
    <w:rsid w:val="7FE91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99"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link w:val="29"/>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5"/>
    <w:semiHidden/>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Noto Sans Mono CJK JP Bold" w:hAnsi="Noto Sans Mono CJK JP Bold" w:eastAsia="Noto Sans Mono CJK JP Bold" w:cs="Noto Sans Mono CJK JP Bold"/>
      <w:kern w:val="0"/>
      <w:sz w:val="30"/>
      <w:szCs w:val="30"/>
    </w:rPr>
  </w:style>
  <w:style w:type="paragraph" w:styleId="6">
    <w:name w:val="annotation text"/>
    <w:basedOn w:val="1"/>
    <w:link w:val="23"/>
    <w:qFormat/>
    <w:uiPriority w:val="0"/>
    <w:pPr>
      <w:jc w:val="left"/>
    </w:pPr>
  </w:style>
  <w:style w:type="paragraph" w:styleId="7">
    <w:name w:val="Body Text Indent"/>
    <w:basedOn w:val="1"/>
    <w:link w:val="38"/>
    <w:semiHidden/>
    <w:unhideWhenUsed/>
    <w:qFormat/>
    <w:uiPriority w:val="99"/>
    <w:pPr>
      <w:spacing w:after="120"/>
      <w:ind w:left="420" w:leftChars="200"/>
    </w:pPr>
  </w:style>
  <w:style w:type="paragraph" w:styleId="8">
    <w:name w:val="Balloon Text"/>
    <w:basedOn w:val="1"/>
    <w:link w:val="22"/>
    <w:qFormat/>
    <w:uiPriority w:val="0"/>
    <w:rPr>
      <w:sz w:val="18"/>
      <w:szCs w:val="18"/>
    </w:rPr>
  </w:style>
  <w:style w:type="paragraph" w:styleId="9">
    <w:name w:val="footer"/>
    <w:basedOn w:val="1"/>
    <w:link w:val="31"/>
    <w:qFormat/>
    <w:uiPriority w:val="0"/>
    <w:pPr>
      <w:tabs>
        <w:tab w:val="center" w:pos="4153"/>
        <w:tab w:val="right" w:pos="8306"/>
      </w:tabs>
      <w:snapToGrid w:val="0"/>
      <w:jc w:val="left"/>
    </w:pPr>
    <w:rPr>
      <w:sz w:val="18"/>
    </w:rPr>
  </w:style>
  <w:style w:type="paragraph" w:styleId="10">
    <w:name w:val="header"/>
    <w:basedOn w:val="1"/>
    <w:link w:val="3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footnote text"/>
    <w:basedOn w:val="1"/>
    <w:link w:val="33"/>
    <w:semiHidden/>
    <w:unhideWhenUsed/>
    <w:qFormat/>
    <w:uiPriority w:val="0"/>
    <w:pPr>
      <w:snapToGrid w:val="0"/>
      <w:jc w:val="left"/>
    </w:pPr>
    <w:rPr>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color w:val="000000"/>
      <w:kern w:val="0"/>
      <w:sz w:val="24"/>
    </w:rPr>
  </w:style>
  <w:style w:type="paragraph" w:styleId="13">
    <w:name w:val="annotation subject"/>
    <w:basedOn w:val="6"/>
    <w:next w:val="6"/>
    <w:link w:val="24"/>
    <w:qFormat/>
    <w:uiPriority w:val="0"/>
    <w:rPr>
      <w:b/>
      <w:bCs/>
    </w:rPr>
  </w:style>
  <w:style w:type="paragraph" w:styleId="14">
    <w:name w:val="Body Text First Indent 2"/>
    <w:basedOn w:val="1"/>
    <w:unhideWhenUsed/>
    <w:qFormat/>
    <w:uiPriority w:val="99"/>
    <w:pPr>
      <w:ind w:firstLine="420" w:firstLineChars="200"/>
    </w:pPr>
  </w:style>
  <w:style w:type="table" w:styleId="1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8">
    <w:name w:val="page number"/>
    <w:qFormat/>
    <w:uiPriority w:val="0"/>
  </w:style>
  <w:style w:type="character" w:styleId="19">
    <w:name w:val="Emphasis"/>
    <w:basedOn w:val="17"/>
    <w:qFormat/>
    <w:uiPriority w:val="0"/>
    <w:rPr>
      <w:i/>
    </w:rPr>
  </w:style>
  <w:style w:type="character" w:styleId="20">
    <w:name w:val="annotation reference"/>
    <w:basedOn w:val="17"/>
    <w:qFormat/>
    <w:uiPriority w:val="0"/>
    <w:rPr>
      <w:sz w:val="21"/>
      <w:szCs w:val="21"/>
    </w:rPr>
  </w:style>
  <w:style w:type="character" w:styleId="21">
    <w:name w:val="footnote reference"/>
    <w:basedOn w:val="17"/>
    <w:semiHidden/>
    <w:unhideWhenUsed/>
    <w:qFormat/>
    <w:uiPriority w:val="0"/>
    <w:rPr>
      <w:vertAlign w:val="superscript"/>
    </w:rPr>
  </w:style>
  <w:style w:type="character" w:customStyle="1" w:styleId="22">
    <w:name w:val="批注框文本 Char"/>
    <w:basedOn w:val="17"/>
    <w:link w:val="8"/>
    <w:qFormat/>
    <w:uiPriority w:val="0"/>
    <w:rPr>
      <w:rFonts w:asciiTheme="minorHAnsi" w:hAnsiTheme="minorHAnsi" w:eastAsiaTheme="minorEastAsia" w:cstheme="minorBidi"/>
      <w:kern w:val="2"/>
      <w:sz w:val="18"/>
      <w:szCs w:val="18"/>
    </w:rPr>
  </w:style>
  <w:style w:type="character" w:customStyle="1" w:styleId="23">
    <w:name w:val="批注文字 Char"/>
    <w:basedOn w:val="17"/>
    <w:link w:val="6"/>
    <w:qFormat/>
    <w:uiPriority w:val="0"/>
    <w:rPr>
      <w:rFonts w:asciiTheme="minorHAnsi" w:hAnsiTheme="minorHAnsi" w:eastAsiaTheme="minorEastAsia" w:cstheme="minorBidi"/>
      <w:kern w:val="2"/>
      <w:sz w:val="21"/>
      <w:szCs w:val="24"/>
    </w:rPr>
  </w:style>
  <w:style w:type="character" w:customStyle="1" w:styleId="24">
    <w:name w:val="批注主题 Char"/>
    <w:basedOn w:val="23"/>
    <w:link w:val="13"/>
    <w:qFormat/>
    <w:uiPriority w:val="0"/>
    <w:rPr>
      <w:rFonts w:asciiTheme="minorHAnsi" w:hAnsiTheme="minorHAnsi" w:eastAsiaTheme="minorEastAsia" w:cstheme="minorBidi"/>
      <w:b/>
      <w:bCs/>
      <w:kern w:val="2"/>
      <w:sz w:val="21"/>
      <w:szCs w:val="24"/>
    </w:rPr>
  </w:style>
  <w:style w:type="paragraph" w:customStyle="1" w:styleId="25">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6">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styleId="27">
    <w:name w:val="List Paragraph"/>
    <w:basedOn w:val="1"/>
    <w:unhideWhenUsed/>
    <w:qFormat/>
    <w:uiPriority w:val="34"/>
    <w:pPr>
      <w:ind w:firstLine="420" w:firstLineChars="200"/>
    </w:pPr>
  </w:style>
  <w:style w:type="paragraph" w:customStyle="1" w:styleId="28">
    <w:name w:val="修订3"/>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9">
    <w:name w:val="标题 2 Char"/>
    <w:basedOn w:val="17"/>
    <w:link w:val="4"/>
    <w:semiHidden/>
    <w:qFormat/>
    <w:uiPriority w:val="0"/>
    <w:rPr>
      <w:rFonts w:asciiTheme="majorHAnsi" w:hAnsiTheme="majorHAnsi" w:eastAsiaTheme="majorEastAsia" w:cstheme="majorBidi"/>
      <w:b/>
      <w:bCs/>
      <w:kern w:val="2"/>
      <w:sz w:val="32"/>
      <w:szCs w:val="32"/>
    </w:rPr>
  </w:style>
  <w:style w:type="character" w:customStyle="1" w:styleId="30">
    <w:name w:val="页眉 Char"/>
    <w:basedOn w:val="17"/>
    <w:link w:val="10"/>
    <w:qFormat/>
    <w:uiPriority w:val="99"/>
    <w:rPr>
      <w:rFonts w:asciiTheme="minorHAnsi" w:hAnsiTheme="minorHAnsi" w:eastAsiaTheme="minorEastAsia" w:cstheme="minorBidi"/>
      <w:kern w:val="2"/>
      <w:sz w:val="18"/>
      <w:szCs w:val="24"/>
    </w:rPr>
  </w:style>
  <w:style w:type="character" w:customStyle="1" w:styleId="31">
    <w:name w:val="页脚 Char"/>
    <w:basedOn w:val="17"/>
    <w:link w:val="9"/>
    <w:qFormat/>
    <w:uiPriority w:val="0"/>
    <w:rPr>
      <w:rFonts w:asciiTheme="minorHAnsi" w:hAnsiTheme="minorHAnsi" w:eastAsiaTheme="minorEastAsia" w:cstheme="minorBidi"/>
      <w:kern w:val="2"/>
      <w:sz w:val="18"/>
      <w:szCs w:val="24"/>
    </w:rPr>
  </w:style>
  <w:style w:type="paragraph" w:customStyle="1" w:styleId="32">
    <w:name w:val="修订4"/>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33">
    <w:name w:val="脚注文本 Char"/>
    <w:basedOn w:val="17"/>
    <w:link w:val="11"/>
    <w:semiHidden/>
    <w:qFormat/>
    <w:uiPriority w:val="0"/>
    <w:rPr>
      <w:kern w:val="2"/>
      <w:sz w:val="18"/>
      <w:szCs w:val="18"/>
    </w:rPr>
  </w:style>
  <w:style w:type="paragraph" w:customStyle="1" w:styleId="34">
    <w:name w:val="修订5"/>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5">
    <w:name w:val="标题 3 Char"/>
    <w:basedOn w:val="17"/>
    <w:link w:val="5"/>
    <w:semiHidden/>
    <w:qFormat/>
    <w:uiPriority w:val="0"/>
    <w:rPr>
      <w:rFonts w:asciiTheme="minorHAnsi" w:hAnsiTheme="minorHAnsi" w:eastAsiaTheme="minorEastAsia" w:cstheme="minorBidi"/>
      <w:b/>
      <w:bCs/>
      <w:kern w:val="2"/>
      <w:sz w:val="32"/>
      <w:szCs w:val="32"/>
    </w:rPr>
  </w:style>
  <w:style w:type="paragraph" w:customStyle="1" w:styleId="36">
    <w:name w:val="Default"/>
    <w:qFormat/>
    <w:uiPriority w:val="0"/>
    <w:pPr>
      <w:widowControl w:val="0"/>
      <w:autoSpaceDE w:val="0"/>
      <w:autoSpaceDN w:val="0"/>
      <w:adjustRightInd w:val="0"/>
    </w:pPr>
    <w:rPr>
      <w:rFonts w:ascii="楷体" w:hAnsi="楷体" w:cs="楷体" w:eastAsiaTheme="minorEastAsia"/>
      <w:color w:val="000000"/>
      <w:sz w:val="24"/>
      <w:szCs w:val="24"/>
      <w:lang w:val="en-US" w:eastAsia="zh-CN" w:bidi="ar-SA"/>
    </w:rPr>
  </w:style>
  <w:style w:type="character" w:customStyle="1" w:styleId="37">
    <w:name w:val="不明显强调1"/>
    <w:qFormat/>
    <w:uiPriority w:val="19"/>
    <w:rPr>
      <w:rFonts w:ascii="仿宋" w:hAnsi="仿宋" w:eastAsia="仿宋" w:cs="Times New Roman"/>
      <w:sz w:val="32"/>
      <w:szCs w:val="32"/>
    </w:rPr>
  </w:style>
  <w:style w:type="character" w:customStyle="1" w:styleId="38">
    <w:name w:val="正文文本缩进 Char"/>
    <w:basedOn w:val="17"/>
    <w:link w:val="7"/>
    <w:semiHidden/>
    <w:qFormat/>
    <w:uiPriority w:val="99"/>
    <w:rPr>
      <w:rFonts w:asciiTheme="minorHAnsi" w:hAnsiTheme="minorHAnsi" w:eastAsiaTheme="minorEastAsia" w:cstheme="minorBidi"/>
      <w:kern w:val="2"/>
      <w:sz w:val="21"/>
      <w:szCs w:val="24"/>
    </w:rPr>
  </w:style>
  <w:style w:type="paragraph" w:customStyle="1" w:styleId="39">
    <w:name w:val="修订6"/>
    <w:hidden/>
    <w:unhideWhenUsed/>
    <w:qFormat/>
    <w:uiPriority w:val="99"/>
    <w:rPr>
      <w:rFonts w:asciiTheme="minorHAnsi" w:hAnsiTheme="minorHAnsi" w:eastAsiaTheme="minorEastAsia" w:cstheme="minorBidi"/>
      <w:kern w:val="2"/>
      <w:sz w:val="21"/>
      <w:szCs w:val="24"/>
      <w:lang w:val="en-US" w:eastAsia="zh-CN" w:bidi="ar-SA"/>
    </w:rPr>
  </w:style>
  <w:style w:type="character" w:styleId="40">
    <w:name w:val="Placeholder Text"/>
    <w:basedOn w:val="17"/>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文档" ma:contentTypeID="0x0101008A1CD0ACEFB685468ADC9D3ECFE50AA2" ma:contentTypeVersion="0" ma:contentTypeDescription="新建文档。" ma:contentTypeScope="" ma:versionID="def0500d8bfa075d08ce612c1990ead7">
  <xsd:schema xmlns:xsd="http://www.w3.org/2001/XMLSchema" xmlns:xs="http://www.w3.org/2001/XMLSchema" xmlns:p="http://schemas.microsoft.com/office/2006/metadata/properties" targetNamespace="http://schemas.microsoft.com/office/2006/metadata/properties" ma:root="true" ma:fieldsID="9adfd09ad98667f9c194c646e975416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D1ED46-448C-4959-A852-A2AEDC137DE6}">
  <ds:schemaRefs/>
</ds:datastoreItem>
</file>

<file path=customXml/itemProps3.xml><?xml version="1.0" encoding="utf-8"?>
<ds:datastoreItem xmlns:ds="http://schemas.openxmlformats.org/officeDocument/2006/customXml" ds:itemID="{FB595917-B52A-4752-9DDB-DA8981109C53}">
  <ds:schemaRefs/>
</ds:datastoreItem>
</file>

<file path=customXml/itemProps4.xml><?xml version="1.0" encoding="utf-8"?>
<ds:datastoreItem xmlns:ds="http://schemas.openxmlformats.org/officeDocument/2006/customXml" ds:itemID="{5A929AB0-C7C9-41EF-8792-9D29E3E4B1DF}">
  <ds:schemaRefs/>
</ds:datastoreItem>
</file>

<file path=docProps/app.xml><?xml version="1.0" encoding="utf-8"?>
<Properties xmlns="http://schemas.openxmlformats.org/officeDocument/2006/extended-properties" xmlns:vt="http://schemas.openxmlformats.org/officeDocument/2006/docPropsVTypes">
  <Template>Normal</Template>
  <Pages>1</Pages>
  <Words>2681</Words>
  <Characters>15287</Characters>
  <Lines>127</Lines>
  <Paragraphs>35</Paragraphs>
  <TotalTime>3</TotalTime>
  <ScaleCrop>false</ScaleCrop>
  <LinksUpToDate>false</LinksUpToDate>
  <CharactersWithSpaces>17933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2023-02-15T01:54:00Z</dcterms:created>
  <dc:creator>章涛(tzhang)</dc:creator>
  <cp:lastModifiedBy>司楠</cp:lastModifiedBy>
  <cp:lastPrinted>2024-01-02T02:08:00Z</cp:lastPrinted>
  <dcterms:modified xsi:type="dcterms:W3CDTF">2024-11-26T08:42:00Z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ContentTypeId">
    <vt:lpwstr>0x0101008A1CD0ACEFB685468ADC9D3ECFE50AA2</vt:lpwstr>
  </property>
  <property fmtid="{D5CDD505-2E9C-101B-9397-08002B2CF9AE}" pid="4" name="ICV">
    <vt:lpwstr>9B2D3910E09B490B98B17AB8D209BFCC</vt:lpwstr>
  </property>
</Properties>
</file>