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6" w:beforeLines="100" w:after="316" w:afterLines="100" w:line="560" w:lineRule="exact"/>
        <w:jc w:val="center"/>
        <w:textAlignment w:val="center"/>
        <w:rPr>
          <w:rFonts w:ascii="Times New Roman" w:hAnsi="Times New Roman" w:eastAsia="方正小标宋简体"/>
          <w:color w:val="000000"/>
          <w:spacing w:val="12"/>
          <w:sz w:val="44"/>
          <w:szCs w:val="44"/>
          <w:highlight w:val="none"/>
        </w:rPr>
      </w:pPr>
      <w:bookmarkStart w:id="6" w:name="_GoBack"/>
      <w:bookmarkEnd w:id="6"/>
      <w:r>
        <w:rPr>
          <w:rFonts w:ascii="Times New Roman" w:hAnsi="Times New Roman" w:eastAsia="方正小标宋简体"/>
          <w:color w:val="000000"/>
          <w:spacing w:val="12"/>
          <w:sz w:val="44"/>
          <w:szCs w:val="44"/>
          <w:highlight w:val="none"/>
        </w:rPr>
        <w:drawing>
          <wp:anchor distT="0" distB="0" distL="114300" distR="114300" simplePos="0" relativeHeight="251662336" behindDoc="0" locked="0" layoutInCell="1" allowOverlap="1">
            <wp:simplePos x="0" y="0"/>
            <wp:positionH relativeFrom="column">
              <wp:posOffset>-8840470</wp:posOffset>
            </wp:positionH>
            <wp:positionV relativeFrom="page">
              <wp:posOffset>-102235</wp:posOffset>
            </wp:positionV>
            <wp:extent cx="15362555" cy="1042543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62789" cy="10425634"/>
                    </a:xfrm>
                    <a:prstGeom prst="rect">
                      <a:avLst/>
                    </a:prstGeom>
                  </pic:spPr>
                </pic:pic>
              </a:graphicData>
            </a:graphic>
          </wp:anchor>
        </w:drawing>
      </w:r>
      <w:r>
        <w:rPr>
          <w:rFonts w:ascii="Times New Roman" w:hAnsi="Times New Roman" w:eastAsia="方正小标宋简体"/>
          <w:color w:val="000000"/>
          <w:spacing w:val="12"/>
          <w:sz w:val="44"/>
          <w:szCs w:val="44"/>
          <w:highlight w:val="none"/>
        </w:rPr>
        <mc:AlternateContent>
          <mc:Choice Requires="wps">
            <w:drawing>
              <wp:anchor distT="0" distB="0" distL="114300" distR="114300" simplePos="0" relativeHeight="251667456" behindDoc="0" locked="0" layoutInCell="1" allowOverlap="1">
                <wp:simplePos x="0" y="0"/>
                <wp:positionH relativeFrom="column">
                  <wp:posOffset>2244725</wp:posOffset>
                </wp:positionH>
                <wp:positionV relativeFrom="paragraph">
                  <wp:posOffset>1941195</wp:posOffset>
                </wp:positionV>
                <wp:extent cx="2308225" cy="441960"/>
                <wp:effectExtent l="0" t="0" r="0" b="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08072" cy="442032"/>
                        </a:xfrm>
                        <a:prstGeom prst="rect">
                          <a:avLst/>
                        </a:prstGeom>
                        <a:solidFill>
                          <a:srgbClr val="FFFFFF"/>
                        </a:solidFill>
                        <a:ln w="9525">
                          <a:noFill/>
                          <a:miter lim="800000"/>
                        </a:ln>
                      </wps:spPr>
                      <wps:txbx>
                        <w:txbxContent>
                          <w:p>
                            <w:pPr>
                              <w:rPr>
                                <w:rFonts w:ascii="楷体" w:hAnsi="楷体" w:eastAsia="楷体"/>
                                <w:b/>
                                <w:sz w:val="28"/>
                                <w:szCs w:val="28"/>
                              </w:rPr>
                            </w:pPr>
                            <w:r>
                              <w:rPr>
                                <w:rFonts w:hint="eastAsia" w:ascii="楷体" w:hAnsi="楷体" w:eastAsia="楷体"/>
                                <w:b/>
                                <w:sz w:val="28"/>
                                <w:szCs w:val="28"/>
                              </w:rPr>
                              <w:t>202</w:t>
                            </w:r>
                            <w:r>
                              <w:rPr>
                                <w:rFonts w:hint="default" w:ascii="楷体" w:hAnsi="楷体" w:eastAsia="楷体"/>
                                <w:b/>
                                <w:sz w:val="28"/>
                                <w:szCs w:val="28"/>
                                <w:lang w:val="en-US"/>
                              </w:rPr>
                              <w:t>4</w:t>
                            </w:r>
                            <w:r>
                              <w:rPr>
                                <w:rFonts w:hint="eastAsia" w:ascii="楷体" w:hAnsi="楷体" w:eastAsia="楷体"/>
                                <w:b/>
                                <w:sz w:val="28"/>
                                <w:szCs w:val="28"/>
                              </w:rPr>
                              <w:t>年第</w:t>
                            </w:r>
                            <w:r>
                              <w:rPr>
                                <w:rFonts w:hint="eastAsia" w:ascii="楷体" w:hAnsi="楷体" w:eastAsia="楷体"/>
                                <w:b/>
                                <w:sz w:val="28"/>
                                <w:szCs w:val="28"/>
                                <w:lang w:val="en-US" w:eastAsia="zh-CN"/>
                              </w:rPr>
                              <w:t>3</w:t>
                            </w:r>
                            <w:r>
                              <w:rPr>
                                <w:rFonts w:hint="eastAsia" w:ascii="楷体" w:hAnsi="楷体" w:eastAsia="楷体"/>
                                <w:b/>
                                <w:sz w:val="28"/>
                                <w:szCs w:val="28"/>
                              </w:rPr>
                              <w:t>期（总第</w:t>
                            </w:r>
                            <w:r>
                              <w:rPr>
                                <w:rFonts w:hint="eastAsia" w:ascii="楷体" w:hAnsi="楷体" w:eastAsia="楷体"/>
                                <w:b/>
                                <w:sz w:val="28"/>
                                <w:szCs w:val="28"/>
                                <w:lang w:val="en-US" w:eastAsia="zh-CN"/>
                              </w:rPr>
                              <w:t>9</w:t>
                            </w:r>
                            <w:r>
                              <w:rPr>
                                <w:rFonts w:hint="eastAsia" w:ascii="楷体" w:hAnsi="楷体" w:eastAsia="楷体"/>
                                <w:b/>
                                <w:sz w:val="28"/>
                                <w:szCs w:val="28"/>
                              </w:rPr>
                              <w:t>期）</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6.75pt;margin-top:152.85pt;height:34.8pt;width:181.75pt;z-index:251667456;mso-width-relative:page;mso-height-relative:page;" fillcolor="#FFFFFF" filled="t" stroked="f" coordsize="21600,21600" o:gfxdata="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K1Wk2AAAAAsBAAAPAAAAAAAAAAEAIAAAACIAAABkcnMvZG93&#10;bnJldi54bWxQSwECFAAUAAAACACHTuJAfSLEWjkCAABSBAAADgAAAAAAAAABACAAAAAnAQAAZHJz&#10;L2Uyb0RvYy54bWxQSwUGAAAAAAYABgBZAQAA0gUAAAAA&#10;">
                <v:fill on="t" focussize="0,0"/>
                <v:stroke on="f" miterlimit="8" joinstyle="miter"/>
                <v:imagedata o:title=""/>
                <o:lock v:ext="edit" aspectratio="f"/>
                <v:textbox>
                  <w:txbxContent>
                    <w:p>
                      <w:pPr>
                        <w:rPr>
                          <w:rFonts w:ascii="楷体" w:hAnsi="楷体" w:eastAsia="楷体"/>
                          <w:b/>
                          <w:sz w:val="28"/>
                          <w:szCs w:val="28"/>
                        </w:rPr>
                      </w:pPr>
                      <w:r>
                        <w:rPr>
                          <w:rFonts w:hint="eastAsia" w:ascii="楷体" w:hAnsi="楷体" w:eastAsia="楷体"/>
                          <w:b/>
                          <w:sz w:val="28"/>
                          <w:szCs w:val="28"/>
                        </w:rPr>
                        <w:t>202</w:t>
                      </w:r>
                      <w:r>
                        <w:rPr>
                          <w:rFonts w:hint="default" w:ascii="楷体" w:hAnsi="楷体" w:eastAsia="楷体"/>
                          <w:b/>
                          <w:sz w:val="28"/>
                          <w:szCs w:val="28"/>
                          <w:lang w:val="en-US"/>
                        </w:rPr>
                        <w:t>4</w:t>
                      </w:r>
                      <w:r>
                        <w:rPr>
                          <w:rFonts w:hint="eastAsia" w:ascii="楷体" w:hAnsi="楷体" w:eastAsia="楷体"/>
                          <w:b/>
                          <w:sz w:val="28"/>
                          <w:szCs w:val="28"/>
                        </w:rPr>
                        <w:t>年第</w:t>
                      </w:r>
                      <w:r>
                        <w:rPr>
                          <w:rFonts w:hint="eastAsia" w:ascii="楷体" w:hAnsi="楷体" w:eastAsia="楷体"/>
                          <w:b/>
                          <w:sz w:val="28"/>
                          <w:szCs w:val="28"/>
                          <w:lang w:val="en-US" w:eastAsia="zh-CN"/>
                        </w:rPr>
                        <w:t>3</w:t>
                      </w:r>
                      <w:r>
                        <w:rPr>
                          <w:rFonts w:hint="eastAsia" w:ascii="楷体" w:hAnsi="楷体" w:eastAsia="楷体"/>
                          <w:b/>
                          <w:sz w:val="28"/>
                          <w:szCs w:val="28"/>
                        </w:rPr>
                        <w:t>期（总第</w:t>
                      </w:r>
                      <w:r>
                        <w:rPr>
                          <w:rFonts w:hint="eastAsia" w:ascii="楷体" w:hAnsi="楷体" w:eastAsia="楷体"/>
                          <w:b/>
                          <w:sz w:val="28"/>
                          <w:szCs w:val="28"/>
                          <w:lang w:val="en-US" w:eastAsia="zh-CN"/>
                        </w:rPr>
                        <w:t>9</w:t>
                      </w:r>
                      <w:r>
                        <w:rPr>
                          <w:rFonts w:hint="eastAsia" w:ascii="楷体" w:hAnsi="楷体" w:eastAsia="楷体"/>
                          <w:b/>
                          <w:sz w:val="28"/>
                          <w:szCs w:val="28"/>
                        </w:rPr>
                        <w:t>期）</w:t>
                      </w:r>
                    </w:p>
                  </w:txbxContent>
                </v:textbox>
              </v:shape>
            </w:pict>
          </mc:Fallback>
        </mc:AlternateContent>
      </w:r>
    </w:p>
    <w:p>
      <w:pPr>
        <w:spacing w:before="158" w:beforeLines="50" w:line="560" w:lineRule="exact"/>
        <w:ind w:right="1049"/>
        <w:jc w:val="right"/>
        <w:textAlignment w:val="center"/>
        <w:rPr>
          <w:rFonts w:ascii="Times New Roman" w:hAnsi="Times New Roman" w:eastAsia="方正小标宋简体"/>
          <w:b/>
          <w:bCs/>
          <w:spacing w:val="312"/>
          <w:kern w:val="0"/>
          <w:sz w:val="56"/>
          <w:szCs w:val="56"/>
          <w:highlight w:val="none"/>
        </w:rPr>
        <w:sectPr>
          <w:headerReference r:id="rId3" w:type="default"/>
          <w:footerReference r:id="rId4" w:type="default"/>
          <w:pgSz w:w="11906" w:h="16157"/>
          <w:pgMar w:top="1440" w:right="1800" w:bottom="1440" w:left="1800" w:header="964" w:footer="1077" w:gutter="0"/>
          <w:cols w:space="0" w:num="1"/>
          <w:docGrid w:type="lines" w:linePitch="316" w:charSpace="0"/>
        </w:sectPr>
      </w:pPr>
    </w:p>
    <w:p>
      <w:pPr>
        <w:spacing w:before="158" w:beforeLines="50" w:after="158" w:afterLines="50" w:line="560" w:lineRule="exact"/>
        <w:jc w:val="center"/>
        <w:textAlignment w:val="center"/>
        <w:rPr>
          <w:rFonts w:ascii="Times New Roman" w:hAnsi="Times New Roman" w:eastAsia="方正小标宋简体"/>
          <w:b/>
          <w:bCs/>
          <w:sz w:val="48"/>
          <w:szCs w:val="48"/>
          <w:highlight w:val="none"/>
        </w:rPr>
      </w:pPr>
      <w:r>
        <w:rPr>
          <w:rFonts w:ascii="Times New Roman" w:hAnsi="Times New Roman" w:eastAsia="方正小标宋简体" w:cs="Times New Roman"/>
          <w:b/>
          <w:bCs/>
          <w:spacing w:val="37"/>
          <w:kern w:val="0"/>
          <w:sz w:val="52"/>
          <w:szCs w:val="52"/>
          <w:highlight w:val="none"/>
          <w:fitText w:val="8224" w:id="-1776563968"/>
        </w:rPr>
        <mc:AlternateContent>
          <mc:Choice Requires="wps">
            <w:drawing>
              <wp:anchor distT="0" distB="0" distL="114300" distR="114300" simplePos="0" relativeHeight="251659264" behindDoc="0" locked="0" layoutInCell="1" allowOverlap="1">
                <wp:simplePos x="0" y="0"/>
                <wp:positionH relativeFrom="column">
                  <wp:posOffset>3927475</wp:posOffset>
                </wp:positionH>
                <wp:positionV relativeFrom="paragraph">
                  <wp:posOffset>-5476875</wp:posOffset>
                </wp:positionV>
                <wp:extent cx="2374265" cy="140398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ln>
                      </wps:spPr>
                      <wps:txbx>
                        <w:txbxContent>
                          <w:p>
                            <w:pPr>
                              <w:rPr>
                                <w:rFonts w:ascii="楷体" w:hAnsi="楷体" w:eastAsia="楷体"/>
                                <w:b/>
                                <w:sz w:val="24"/>
                              </w:rPr>
                            </w:pPr>
                            <w:r>
                              <w:rPr>
                                <w:rFonts w:hint="eastAsia" w:ascii="楷体" w:hAnsi="楷体" w:eastAsia="楷体"/>
                                <w:b/>
                                <w:sz w:val="24"/>
                              </w:rPr>
                              <w:t>2021年第5期（总第11期）</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309.25pt;margin-top:-431.25pt;height:110.55pt;width:186.95pt;z-index:251659264;mso-width-relative:margin;mso-height-relative:margin;mso-width-percent:400;mso-height-percent:200;" filled="f" stroked="f" coordsize="21600,21600" o:gfxdata="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NwsT2gAAAA0BAAAPAAAAAAAAAAEAIAAAACIAAABkcnMvZG93bnJldi54bWxQSwECFAAU&#10;AAAACACHTuJA6QnjLCgCAAAsBAAADgAAAAAAAAABACAAAAApAQAAZHJzL2Uyb0RvYy54bWxQSwUG&#10;AAAAAAYABgBZAQAAwwUAAAAA&#10;">
                <v:fill on="f" focussize="0,0"/>
                <v:stroke on="f" miterlimit="8" joinstyle="miter"/>
                <v:imagedata o:title=""/>
                <o:lock v:ext="edit" aspectratio="f"/>
                <v:textbox style="mso-fit-shape-to-text:t;">
                  <w:txbxContent>
                    <w:p>
                      <w:pPr>
                        <w:rPr>
                          <w:rFonts w:ascii="楷体" w:hAnsi="楷体" w:eastAsia="楷体"/>
                          <w:b/>
                          <w:sz w:val="24"/>
                        </w:rPr>
                      </w:pPr>
                      <w:r>
                        <w:rPr>
                          <w:rFonts w:hint="eastAsia" w:ascii="楷体" w:hAnsi="楷体" w:eastAsia="楷体"/>
                          <w:b/>
                          <w:sz w:val="24"/>
                        </w:rPr>
                        <w:t>2021年第5期（总第11期）</w:t>
                      </w:r>
                    </w:p>
                  </w:txbxContent>
                </v:textbox>
              </v:shape>
            </w:pict>
          </mc:Fallback>
        </mc:AlternateContent>
      </w:r>
      <w:r>
        <w:rPr>
          <w:rFonts w:hint="eastAsia" w:ascii="Times New Roman" w:hAnsi="Times New Roman" w:eastAsia="方正小标宋简体" w:cs="Times New Roman"/>
          <w:b/>
          <w:bCs/>
          <w:spacing w:val="61"/>
          <w:kern w:val="0"/>
          <w:sz w:val="52"/>
          <w:szCs w:val="52"/>
          <w:highlight w:val="none"/>
          <w:fitText w:val="8224" w:id="-1776563968"/>
        </w:rPr>
        <w:t>深圳证券交易所会计监管动</w:t>
      </w:r>
      <w:r>
        <w:rPr>
          <w:rFonts w:hint="eastAsia" w:ascii="Times New Roman" w:hAnsi="Times New Roman" w:eastAsia="方正小标宋简体" w:cs="Times New Roman"/>
          <w:b/>
          <w:bCs/>
          <w:spacing w:val="0"/>
          <w:kern w:val="0"/>
          <w:sz w:val="52"/>
          <w:szCs w:val="52"/>
          <w:highlight w:val="none"/>
          <w:fitText w:val="8224" w:id="-1776563968"/>
        </w:rPr>
        <w:t>态</w:t>
      </w:r>
      <w:r>
        <w:rPr>
          <w:rFonts w:ascii="Times New Roman" w:hAnsi="Times New Roman" w:eastAsia="Noto Sans Mono CJK JP Bold"/>
          <w:sz w:val="48"/>
          <w:szCs w:val="48"/>
          <w:highlight w:val="none"/>
        </w:rPr>
        <mc:AlternateContent>
          <mc:Choice Requires="wps">
            <w:drawing>
              <wp:anchor distT="0" distB="0" distL="114300" distR="114300" simplePos="0" relativeHeight="251660288" behindDoc="1" locked="0" layoutInCell="1" allowOverlap="1">
                <wp:simplePos x="0" y="0"/>
                <wp:positionH relativeFrom="page">
                  <wp:posOffset>946150</wp:posOffset>
                </wp:positionH>
                <wp:positionV relativeFrom="paragraph">
                  <wp:posOffset>543560</wp:posOffset>
                </wp:positionV>
                <wp:extent cx="5769610" cy="40640"/>
                <wp:effectExtent l="19050" t="19050" r="21590" b="1651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5769610" cy="40640"/>
                        </a:xfrm>
                        <a:prstGeom prst="rect">
                          <a:avLst/>
                        </a:prstGeom>
                        <a:solidFill>
                          <a:srgbClr val="E6E7E8"/>
                        </a:solidFill>
                        <a:ln w="38100">
                          <a:solidFill>
                            <a:schemeClr val="bg1">
                              <a:lumMod val="85000"/>
                            </a:schemeClr>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4.5pt;margin-top:42.8pt;height:3.2pt;width:454.3pt;mso-position-horizontal-relative:page;z-index:-251656192;mso-width-relative:page;mso-height-relative:page;" fillcolor="#E6E7E8" filled="t" stroked="t" coordsize="21600,21600" o:gfxdata="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xJ7uQ2AAAAAoBAAAPAAAAAAAA&#10;AAEAIAAAACIAAABkcnMvZG93bnJldi54bWxQSwECFAAUAAAACACHTuJAZCxAP0sCAACRBAAADgAA&#10;AAAAAAABACAAAAAnAQAAZHJzL2Uyb0RvYy54bWxQSwUGAAAAAAYABgBZAQAA5AUAAAAA&#10;">
                <v:fill on="t" focussize="0,0"/>
                <v:stroke weight="3pt" color="#D9D9D9 [2732]" miterlimit="8" joinstyle="miter"/>
                <v:imagedata o:title=""/>
                <o:lock v:ext="edit" aspectratio="f"/>
              </v:rect>
            </w:pict>
          </mc:Fallback>
        </mc:AlternateContent>
      </w:r>
    </w:p>
    <w:p>
      <w:pPr>
        <w:pStyle w:val="2"/>
        <w:spacing w:line="560" w:lineRule="exact"/>
        <w:ind w:left="5250"/>
        <w:jc w:val="both"/>
        <w:textAlignment w:val="center"/>
        <w:rPr>
          <w:rFonts w:ascii="Times New Roman" w:hAnsi="Times New Roman"/>
          <w:sz w:val="20"/>
          <w:highlight w:val="none"/>
        </w:rPr>
      </w:pPr>
      <w:r>
        <w:rPr>
          <w:rFonts w:ascii="Times New Roman" w:hAnsi="Times New Roman" w:eastAsia="黑体"/>
          <w:highlight w:val="none"/>
        </w:rPr>
        <mc:AlternateContent>
          <mc:Choice Requires="wps">
            <w:drawing>
              <wp:anchor distT="0" distB="0" distL="114300" distR="114300" simplePos="0" relativeHeight="251661312" behindDoc="0" locked="0" layoutInCell="1" allowOverlap="1">
                <wp:simplePos x="0" y="0"/>
                <wp:positionH relativeFrom="column">
                  <wp:posOffset>3545840</wp:posOffset>
                </wp:positionH>
                <wp:positionV relativeFrom="paragraph">
                  <wp:posOffset>35560</wp:posOffset>
                </wp:positionV>
                <wp:extent cx="2026920" cy="346710"/>
                <wp:effectExtent l="0" t="0" r="0" b="0"/>
                <wp:wrapNone/>
                <wp:docPr id="4" name="矩形 4"/>
                <wp:cNvGraphicFramePr/>
                <a:graphic xmlns:a="http://schemas.openxmlformats.org/drawingml/2006/main">
                  <a:graphicData uri="http://schemas.microsoft.com/office/word/2010/wordprocessingShape">
                    <wps:wsp>
                      <wps:cNvSpPr/>
                      <wps:spPr>
                        <a:xfrm>
                          <a:off x="0" y="0"/>
                          <a:ext cx="2026920" cy="346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202</w:t>
                            </w:r>
                            <w:r>
                              <w:rPr>
                                <w:rFonts w:hint="default" w:ascii="楷体" w:hAnsi="楷体" w:eastAsia="楷体"/>
                                <w:b/>
                                <w:color w:val="000000" w:themeColor="text1"/>
                                <w:sz w:val="24"/>
                                <w:lang w:val="en-US"/>
                                <w14:textFill>
                                  <w14:solidFill>
                                    <w14:schemeClr w14:val="tx1"/>
                                  </w14:solidFill>
                                </w14:textFill>
                              </w:rPr>
                              <w:t>4</w:t>
                            </w:r>
                            <w:r>
                              <w:rPr>
                                <w:rFonts w:hint="eastAsia" w:ascii="楷体" w:hAnsi="楷体" w:eastAsia="楷体"/>
                                <w:b/>
                                <w:color w:val="000000" w:themeColor="text1"/>
                                <w:sz w:val="24"/>
                                <w14:textFill>
                                  <w14:solidFill>
                                    <w14:schemeClr w14:val="tx1"/>
                                  </w14:solidFill>
                                </w14:textFill>
                              </w:rPr>
                              <w:t>年第</w:t>
                            </w:r>
                            <w:r>
                              <w:rPr>
                                <w:rFonts w:hint="eastAsia" w:ascii="楷体" w:hAnsi="楷体" w:eastAsia="楷体"/>
                                <w:b/>
                                <w:color w:val="000000" w:themeColor="text1"/>
                                <w:sz w:val="24"/>
                                <w:lang w:val="en-US" w:eastAsia="zh-CN"/>
                                <w14:textFill>
                                  <w14:solidFill>
                                    <w14:schemeClr w14:val="tx1"/>
                                  </w14:solidFill>
                                </w14:textFill>
                              </w:rPr>
                              <w:t>3</w:t>
                            </w:r>
                            <w:r>
                              <w:rPr>
                                <w:rFonts w:hint="eastAsia" w:ascii="楷体" w:hAnsi="楷体" w:eastAsia="楷体"/>
                                <w:b/>
                                <w:color w:val="000000" w:themeColor="text1"/>
                                <w:sz w:val="24"/>
                                <w14:textFill>
                                  <w14:solidFill>
                                    <w14:schemeClr w14:val="tx1"/>
                                  </w14:solidFill>
                                </w14:textFill>
                              </w:rPr>
                              <w:t>期（总第</w:t>
                            </w:r>
                            <w:r>
                              <w:rPr>
                                <w:rFonts w:hint="eastAsia" w:ascii="楷体" w:hAnsi="楷体" w:eastAsia="楷体"/>
                                <w:b/>
                                <w:color w:val="000000" w:themeColor="text1"/>
                                <w:sz w:val="24"/>
                                <w:lang w:val="en-US" w:eastAsia="zh-CN"/>
                                <w14:textFill>
                                  <w14:solidFill>
                                    <w14:schemeClr w14:val="tx1"/>
                                  </w14:solidFill>
                                </w14:textFill>
                              </w:rPr>
                              <w:t>9</w:t>
                            </w:r>
                            <w:r>
                              <w:rPr>
                                <w:rFonts w:hint="eastAsia" w:ascii="楷体" w:hAnsi="楷体" w:eastAsia="楷体"/>
                                <w:b/>
                                <w:color w:val="000000" w:themeColor="text1"/>
                                <w:sz w:val="24"/>
                                <w14:textFill>
                                  <w14:solidFill>
                                    <w14:schemeClr w14:val="tx1"/>
                                  </w14:solidFill>
                                </w14:textFill>
                              </w:rPr>
                              <w:t>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2pt;margin-top:2.8pt;height:27.3pt;width:159.6pt;z-index:251661312;v-text-anchor:middle;mso-width-relative:page;mso-height-relative:page;" filled="f" stroked="f" coordsize="21600,21600" o:gfxdata="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3&#10;4kpH1gAAAAgBAAAPAAAAAAAAAAEAIAAAACIAAABkcnMvZG93bnJldi54bWxQSwECFAAUAAAACACH&#10;TuJA845NrF8CAACtBAAADgAAAAAAAAABACAAAAAlAQAAZHJzL2Uyb0RvYy54bWxQSwUGAAAAAAYA&#10;BgBZAQAA9gUAAAAA&#10;">
                <v:fill on="f" focussize="0,0"/>
                <v:stroke on="f" weight="1pt" miterlimit="8" joinstyle="miter"/>
                <v:imagedata o:title=""/>
                <o:lock v:ext="edit" aspectratio="f"/>
                <v:textbox>
                  <w:txbxContent>
                    <w:p>
                      <w:pPr>
                        <w:jc w:val="cente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202</w:t>
                      </w:r>
                      <w:r>
                        <w:rPr>
                          <w:rFonts w:hint="default" w:ascii="楷体" w:hAnsi="楷体" w:eastAsia="楷体"/>
                          <w:b/>
                          <w:color w:val="000000" w:themeColor="text1"/>
                          <w:sz w:val="24"/>
                          <w:lang w:val="en-US"/>
                          <w14:textFill>
                            <w14:solidFill>
                              <w14:schemeClr w14:val="tx1"/>
                            </w14:solidFill>
                          </w14:textFill>
                        </w:rPr>
                        <w:t>4</w:t>
                      </w:r>
                      <w:r>
                        <w:rPr>
                          <w:rFonts w:hint="eastAsia" w:ascii="楷体" w:hAnsi="楷体" w:eastAsia="楷体"/>
                          <w:b/>
                          <w:color w:val="000000" w:themeColor="text1"/>
                          <w:sz w:val="24"/>
                          <w14:textFill>
                            <w14:solidFill>
                              <w14:schemeClr w14:val="tx1"/>
                            </w14:solidFill>
                          </w14:textFill>
                        </w:rPr>
                        <w:t>年第</w:t>
                      </w:r>
                      <w:r>
                        <w:rPr>
                          <w:rFonts w:hint="eastAsia" w:ascii="楷体" w:hAnsi="楷体" w:eastAsia="楷体"/>
                          <w:b/>
                          <w:color w:val="000000" w:themeColor="text1"/>
                          <w:sz w:val="24"/>
                          <w:lang w:val="en-US" w:eastAsia="zh-CN"/>
                          <w14:textFill>
                            <w14:solidFill>
                              <w14:schemeClr w14:val="tx1"/>
                            </w14:solidFill>
                          </w14:textFill>
                        </w:rPr>
                        <w:t>3</w:t>
                      </w:r>
                      <w:r>
                        <w:rPr>
                          <w:rFonts w:hint="eastAsia" w:ascii="楷体" w:hAnsi="楷体" w:eastAsia="楷体"/>
                          <w:b/>
                          <w:color w:val="000000" w:themeColor="text1"/>
                          <w:sz w:val="24"/>
                          <w14:textFill>
                            <w14:solidFill>
                              <w14:schemeClr w14:val="tx1"/>
                            </w14:solidFill>
                          </w14:textFill>
                        </w:rPr>
                        <w:t>期（总第</w:t>
                      </w:r>
                      <w:r>
                        <w:rPr>
                          <w:rFonts w:hint="eastAsia" w:ascii="楷体" w:hAnsi="楷体" w:eastAsia="楷体"/>
                          <w:b/>
                          <w:color w:val="000000" w:themeColor="text1"/>
                          <w:sz w:val="24"/>
                          <w:lang w:val="en-US" w:eastAsia="zh-CN"/>
                          <w14:textFill>
                            <w14:solidFill>
                              <w14:schemeClr w14:val="tx1"/>
                            </w14:solidFill>
                          </w14:textFill>
                        </w:rPr>
                        <w:t>9</w:t>
                      </w:r>
                      <w:r>
                        <w:rPr>
                          <w:rFonts w:hint="eastAsia" w:ascii="楷体" w:hAnsi="楷体" w:eastAsia="楷体"/>
                          <w:b/>
                          <w:color w:val="000000" w:themeColor="text1"/>
                          <w:sz w:val="24"/>
                          <w14:textFill>
                            <w14:solidFill>
                              <w14:schemeClr w14:val="tx1"/>
                            </w14:solidFill>
                          </w14:textFill>
                        </w:rPr>
                        <w:t>期）</w:t>
                      </w:r>
                    </w:p>
                  </w:txbxContent>
                </v:textbox>
              </v:rect>
            </w:pict>
          </mc:Fallback>
        </mc:AlternateContent>
      </w:r>
    </w:p>
    <w:p>
      <w:pPr>
        <w:tabs>
          <w:tab w:val="left" w:pos="1200"/>
        </w:tabs>
        <w:spacing w:line="560" w:lineRule="exact"/>
        <w:ind w:right="1050"/>
        <w:textAlignment w:val="center"/>
        <w:rPr>
          <w:rFonts w:ascii="Times New Roman" w:hAnsi="Times New Roman" w:eastAsia="黑体"/>
          <w:sz w:val="30"/>
          <w:szCs w:val="30"/>
          <w:highlight w:val="none"/>
        </w:rPr>
      </w:pPr>
    </w:p>
    <w:p>
      <w:pPr>
        <w:spacing w:line="560" w:lineRule="exact"/>
        <w:ind w:right="1050"/>
        <w:textAlignment w:val="center"/>
        <w:rPr>
          <w:rFonts w:ascii="Times New Roman" w:hAnsi="Times New Roman" w:eastAsia="黑体"/>
          <w:sz w:val="30"/>
          <w:szCs w:val="30"/>
          <w:highlight w:val="none"/>
        </w:rPr>
      </w:pPr>
    </w:p>
    <w:p>
      <w:pPr>
        <w:spacing w:line="560" w:lineRule="exact"/>
        <w:ind w:right="1050"/>
        <w:textAlignment w:val="center"/>
        <w:rPr>
          <w:rFonts w:ascii="Times New Roman" w:hAnsi="Times New Roman" w:eastAsia="方正黑体简体"/>
          <w:sz w:val="30"/>
          <w:szCs w:val="30"/>
          <w:highlight w:val="none"/>
        </w:rPr>
      </w:pPr>
      <w:r>
        <w:rPr>
          <w:rFonts w:hint="eastAsia" w:ascii="Times New Roman" w:hAnsi="Times New Roman" w:eastAsia="方正黑体简体"/>
          <w:sz w:val="30"/>
          <w:szCs w:val="30"/>
          <w:highlight w:val="none"/>
        </w:rPr>
        <w:t xml:space="preserve">一、深市会计审计监管通讯                       </w:t>
      </w:r>
      <w:r>
        <w:rPr>
          <w:rFonts w:ascii="Times New Roman" w:hAnsi="Times New Roman" w:eastAsia="方正黑体简体"/>
          <w:sz w:val="30"/>
          <w:szCs w:val="30"/>
          <w:highlight w:val="none"/>
        </w:rPr>
        <w:t>3</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hint="eastAsia" w:ascii="Times New Roman" w:hAnsi="Times New Roman" w:eastAsia="方正黑体简体"/>
          <w:sz w:val="30"/>
          <w:szCs w:val="30"/>
          <w:highlight w:val="none"/>
          <w:lang w:eastAsia="zh-CN"/>
        </w:rPr>
      </w:pPr>
      <w:r>
        <w:rPr>
          <w:rFonts w:hint="eastAsia" w:ascii="Times New Roman" w:hAnsi="Times New Roman" w:eastAsia="方正黑体简体"/>
          <w:sz w:val="30"/>
          <w:szCs w:val="30"/>
          <w:highlight w:val="none"/>
        </w:rPr>
        <w:t xml:space="preserve">二、典型案例研究                               </w:t>
      </w:r>
      <w:r>
        <w:rPr>
          <w:rFonts w:hint="eastAsia" w:ascii="Times New Roman" w:hAnsi="Times New Roman" w:eastAsia="方正黑体简体"/>
          <w:sz w:val="30"/>
          <w:szCs w:val="30"/>
          <w:highlight w:val="none"/>
          <w:lang w:val="en-US" w:eastAsia="zh-CN"/>
        </w:rPr>
        <w:t>9</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ascii="Times New Roman" w:hAnsi="Times New Roman" w:eastAsia="方正黑体简体"/>
          <w:sz w:val="30"/>
          <w:szCs w:val="30"/>
          <w:highlight w:val="none"/>
        </w:rPr>
      </w:pPr>
    </w:p>
    <w:p>
      <w:pPr>
        <w:tabs>
          <w:tab w:val="left" w:pos="709"/>
        </w:tabs>
        <w:spacing w:line="560" w:lineRule="exact"/>
        <w:ind w:right="1050"/>
        <w:textAlignment w:val="center"/>
        <w:rPr>
          <w:rFonts w:hint="default" w:ascii="Times New Roman" w:hAnsi="Times New Roman" w:eastAsia="方正黑体简体"/>
          <w:sz w:val="30"/>
          <w:szCs w:val="30"/>
          <w:highlight w:val="none"/>
          <w:lang w:val="en-US" w:eastAsia="zh-CN"/>
        </w:rPr>
      </w:pPr>
      <w:r>
        <w:rPr>
          <w:rFonts w:hint="eastAsia" w:ascii="Times New Roman" w:hAnsi="Times New Roman" w:eastAsia="方正黑体简体"/>
          <w:sz w:val="30"/>
          <w:szCs w:val="30"/>
          <w:highlight w:val="none"/>
        </w:rPr>
        <w:t xml:space="preserve">三、会计审计政策资讯                           </w:t>
      </w:r>
      <w:r>
        <w:rPr>
          <w:rFonts w:hint="eastAsia" w:ascii="Times New Roman" w:hAnsi="Times New Roman" w:eastAsia="方正黑体简体"/>
          <w:sz w:val="30"/>
          <w:szCs w:val="30"/>
          <w:highlight w:val="none"/>
          <w:lang w:val="en-US" w:eastAsia="zh-CN"/>
        </w:rPr>
        <w:t>25</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jc w:val="left"/>
        <w:textAlignment w:val="center"/>
        <w:rPr>
          <w:rFonts w:ascii="Times New Roman" w:hAnsi="Times New Roman" w:eastAsia="方正黑体简体"/>
          <w:sz w:val="30"/>
          <w:szCs w:val="30"/>
          <w:highlight w:val="none"/>
        </w:rPr>
      </w:pPr>
    </w:p>
    <w:p>
      <w:pPr>
        <w:widowControl/>
        <w:spacing w:line="560" w:lineRule="exact"/>
        <w:textAlignment w:val="center"/>
        <w:rPr>
          <w:rFonts w:ascii="Times New Roman" w:hAnsi="Times New Roman" w:eastAsia="方正小标宋简体" w:cs="Times New Roman"/>
          <w:b/>
          <w:bCs/>
          <w:sz w:val="48"/>
          <w:szCs w:val="48"/>
          <w:highlight w:val="none"/>
        </w:rPr>
        <w:sectPr>
          <w:headerReference r:id="rId5" w:type="first"/>
          <w:footerReference r:id="rId7" w:type="first"/>
          <w:footerReference r:id="rId6" w:type="default"/>
          <w:pgSz w:w="11906" w:h="16157"/>
          <w:pgMar w:top="1440" w:right="1800" w:bottom="1440" w:left="1800" w:header="964" w:footer="1077" w:gutter="0"/>
          <w:cols w:space="0" w:num="1"/>
          <w:titlePg/>
          <w:docGrid w:type="lines" w:linePitch="316" w:charSpace="0"/>
        </w:sectPr>
      </w:pPr>
      <w:r>
        <w:rPr>
          <w:rFonts w:ascii="Times New Roman" w:hAnsi="Times New Roman" w:eastAsia="方正黑体简体"/>
          <w:sz w:val="30"/>
          <w:szCs w:val="30"/>
          <w:highlight w:val="none"/>
        </w:rPr>
        <w:drawing>
          <wp:anchor distT="0" distB="0" distL="0" distR="0" simplePos="0" relativeHeight="251665408" behindDoc="0" locked="0" layoutInCell="1" allowOverlap="1">
            <wp:simplePos x="0" y="0"/>
            <wp:positionH relativeFrom="page">
              <wp:posOffset>5309870</wp:posOffset>
            </wp:positionH>
            <wp:positionV relativeFrom="paragraph">
              <wp:posOffset>3475355</wp:posOffset>
            </wp:positionV>
            <wp:extent cx="984885" cy="371475"/>
            <wp:effectExtent l="0" t="0" r="5715" b="9525"/>
            <wp:wrapNone/>
            <wp:docPr id="3"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54.png"/>
                    <pic:cNvPicPr>
                      <a:picLocks noChangeAspect="1"/>
                    </pic:cNvPicPr>
                  </pic:nvPicPr>
                  <pic:blipFill>
                    <a:blip r:embed="rId14" cstate="print"/>
                    <a:stretch>
                      <a:fillRect/>
                    </a:stretch>
                  </pic:blipFill>
                  <pic:spPr>
                    <a:xfrm>
                      <a:off x="0" y="0"/>
                      <a:ext cx="984885" cy="371475"/>
                    </a:xfrm>
                    <a:prstGeom prst="rect">
                      <a:avLst/>
                    </a:prstGeom>
                  </pic:spPr>
                </pic:pic>
              </a:graphicData>
            </a:graphic>
          </wp:anchor>
        </w:drawing>
      </w:r>
      <w:r>
        <w:rPr>
          <w:rFonts w:ascii="Times New Roman" w:hAnsi="Times New Roman" w:eastAsia="方正黑体简体"/>
          <w:sz w:val="30"/>
          <w:szCs w:val="30"/>
          <w:highlight w:val="none"/>
        </w:rPr>
        <w:drawing>
          <wp:anchor distT="0" distB="0" distL="0" distR="0" simplePos="0" relativeHeight="251666432" behindDoc="0" locked="0" layoutInCell="1" allowOverlap="1">
            <wp:simplePos x="0" y="0"/>
            <wp:positionH relativeFrom="page">
              <wp:posOffset>6376670</wp:posOffset>
            </wp:positionH>
            <wp:positionV relativeFrom="paragraph">
              <wp:posOffset>3256280</wp:posOffset>
            </wp:positionV>
            <wp:extent cx="363220" cy="485775"/>
            <wp:effectExtent l="0" t="0" r="0" b="9525"/>
            <wp:wrapNone/>
            <wp:docPr id="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55.png"/>
                    <pic:cNvPicPr>
                      <a:picLocks noChangeAspect="1"/>
                    </pic:cNvPicPr>
                  </pic:nvPicPr>
                  <pic:blipFill>
                    <a:blip r:embed="rId15" cstate="print"/>
                    <a:stretch>
                      <a:fillRect/>
                    </a:stretch>
                  </pic:blipFill>
                  <pic:spPr>
                    <a:xfrm>
                      <a:off x="0" y="0"/>
                      <a:ext cx="363220" cy="485775"/>
                    </a:xfrm>
                    <a:prstGeom prst="rect">
                      <a:avLst/>
                    </a:prstGeom>
                  </pic:spPr>
                </pic:pic>
              </a:graphicData>
            </a:graphic>
          </wp:anchor>
        </w:drawing>
      </w:r>
      <w:r>
        <w:rPr>
          <w:rFonts w:hint="eastAsia" w:ascii="Times New Roman" w:hAnsi="Times New Roman" w:eastAsia="方正小标宋简体" w:cs="Times New Roman"/>
          <w:b/>
          <w:bCs/>
          <w:sz w:val="48"/>
          <w:szCs w:val="48"/>
          <w:highlight w:val="none"/>
        </w:rPr>
        <w:drawing>
          <wp:anchor distT="0" distB="0" distL="114300" distR="114300" simplePos="0" relativeHeight="251664384" behindDoc="1" locked="0" layoutInCell="1" allowOverlap="1">
            <wp:simplePos x="0" y="0"/>
            <wp:positionH relativeFrom="column">
              <wp:posOffset>-2619375</wp:posOffset>
            </wp:positionH>
            <wp:positionV relativeFrom="page">
              <wp:posOffset>5835650</wp:posOffset>
            </wp:positionV>
            <wp:extent cx="4616450" cy="5760085"/>
            <wp:effectExtent l="0" t="0" r="0" b="0"/>
            <wp:wrapNone/>
            <wp:docPr id="13" name="图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ogo"/>
                    <pic:cNvPicPr>
                      <a:picLocks noChangeAspect="1"/>
                    </pic:cNvPicPr>
                  </pic:nvPicPr>
                  <pic:blipFill>
                    <a:blip r:embed="rId16"/>
                    <a:stretch>
                      <a:fillRect/>
                    </a:stretch>
                  </pic:blipFill>
                  <pic:spPr>
                    <a:xfrm>
                      <a:off x="0" y="0"/>
                      <a:ext cx="4616450" cy="5760085"/>
                    </a:xfrm>
                    <a:prstGeom prst="rect">
                      <a:avLst/>
                    </a:prstGeom>
                  </pic:spPr>
                </pic:pic>
              </a:graphicData>
            </a:graphic>
          </wp:anchor>
        </w:drawing>
      </w:r>
    </w:p>
    <w:p>
      <w:pPr>
        <w:widowControl/>
        <w:spacing w:line="560" w:lineRule="exact"/>
        <w:textAlignment w:val="center"/>
        <w:rPr>
          <w:rFonts w:ascii="Times New Roman" w:hAnsi="Times New Roman" w:eastAsia="方正小标宋简体" w:cs="Times New Roman"/>
          <w:b/>
          <w:bCs/>
          <w:sz w:val="48"/>
          <w:szCs w:val="48"/>
          <w:highlight w:val="none"/>
        </w:rPr>
      </w:pPr>
      <w:bookmarkStart w:id="0" w:name="_Toc1367951469"/>
      <w:bookmarkStart w:id="1" w:name="_Toc740857988"/>
      <w:bookmarkStart w:id="2" w:name="_Toc487457050"/>
      <w:bookmarkStart w:id="3" w:name="_Toc1985683688"/>
      <w:bookmarkStart w:id="4" w:name="_Toc1574714070"/>
      <w:bookmarkStart w:id="5" w:name="_Toc1952384747"/>
    </w:p>
    <w:p>
      <w:pPr>
        <w:spacing w:line="560" w:lineRule="exact"/>
        <w:jc w:val="center"/>
        <w:textAlignment w:val="center"/>
        <w:rPr>
          <w:rFonts w:ascii="Times New Roman" w:hAnsi="Times New Roman" w:eastAsia="方正小标宋简体"/>
          <w:b/>
          <w:bCs/>
          <w:sz w:val="48"/>
          <w:szCs w:val="48"/>
          <w:highlight w:val="none"/>
        </w:rPr>
      </w:pPr>
      <w:r>
        <w:rPr>
          <w:rFonts w:hint="eastAsia" w:ascii="Times New Roman" w:hAnsi="Times New Roman" w:eastAsia="方正小标宋简体"/>
          <w:b/>
          <w:bCs/>
          <w:sz w:val="48"/>
          <w:szCs w:val="48"/>
          <w:highlight w:val="none"/>
        </w:rPr>
        <w:t>深圳证券交易所会计监管动态</w:t>
      </w:r>
    </w:p>
    <w:p>
      <w:pPr>
        <w:spacing w:line="560" w:lineRule="exact"/>
        <w:ind w:right="-147" w:rightChars="-70"/>
        <w:jc w:val="center"/>
        <w:textAlignment w:val="center"/>
        <w:rPr>
          <w:rFonts w:ascii="Times New Roman" w:hAnsi="Times New Roman" w:eastAsia="方正仿宋简体"/>
          <w:sz w:val="30"/>
          <w:szCs w:val="30"/>
          <w:highlight w:val="none"/>
        </w:rPr>
      </w:pPr>
    </w:p>
    <w:p>
      <w:pPr>
        <w:spacing w:line="560" w:lineRule="exact"/>
        <w:jc w:val="center"/>
        <w:textAlignment w:val="center"/>
        <w:rPr>
          <w:rFonts w:ascii="Times New Roman" w:hAnsi="Times New Roman" w:eastAsia="楷体_GB2312"/>
          <w:sz w:val="32"/>
          <w:highlight w:val="none"/>
        </w:rPr>
      </w:pPr>
      <w:r>
        <w:rPr>
          <w:rFonts w:ascii="Times New Roman" w:hAnsi="Times New Roman" w:eastAsia="楷体_GB2312"/>
          <w:sz w:val="32"/>
          <w:highlight w:val="none"/>
        </w:rPr>
        <w:t>20</w:t>
      </w:r>
      <w:r>
        <w:rPr>
          <w:rFonts w:hint="eastAsia" w:ascii="Times New Roman" w:hAnsi="Times New Roman" w:eastAsia="楷体_GB2312"/>
          <w:sz w:val="32"/>
          <w:highlight w:val="none"/>
        </w:rPr>
        <w:t>2</w:t>
      </w:r>
      <w:r>
        <w:rPr>
          <w:rFonts w:hint="default" w:ascii="Times New Roman" w:hAnsi="Times New Roman" w:eastAsia="楷体_GB2312"/>
          <w:sz w:val="32"/>
          <w:highlight w:val="none"/>
          <w:lang w:val="en-US"/>
        </w:rPr>
        <w:t>4</w:t>
      </w:r>
      <w:r>
        <w:rPr>
          <w:rFonts w:ascii="Times New Roman" w:hAnsi="Times New Roman" w:eastAsia="楷体_GB2312"/>
          <w:sz w:val="32"/>
          <w:highlight w:val="none"/>
        </w:rPr>
        <w:t>年第</w:t>
      </w:r>
      <w:r>
        <w:rPr>
          <w:rFonts w:hint="eastAsia" w:ascii="Times New Roman" w:hAnsi="Times New Roman" w:eastAsia="楷体_GB2312"/>
          <w:sz w:val="32"/>
          <w:highlight w:val="none"/>
          <w:lang w:val="en-US" w:eastAsia="zh-CN"/>
        </w:rPr>
        <w:t>3</w:t>
      </w:r>
      <w:r>
        <w:rPr>
          <w:rFonts w:ascii="Times New Roman" w:hAnsi="Times New Roman" w:eastAsia="楷体_GB2312"/>
          <w:sz w:val="32"/>
          <w:highlight w:val="none"/>
        </w:rPr>
        <w:t>期（总第</w:t>
      </w:r>
      <w:r>
        <w:rPr>
          <w:rFonts w:hint="eastAsia" w:ascii="Times New Roman" w:hAnsi="Times New Roman" w:eastAsia="楷体_GB2312"/>
          <w:sz w:val="32"/>
          <w:highlight w:val="none"/>
          <w:lang w:val="en-US" w:eastAsia="zh-CN"/>
        </w:rPr>
        <w:t>9</w:t>
      </w:r>
      <w:r>
        <w:rPr>
          <w:rFonts w:ascii="Times New Roman" w:hAnsi="Times New Roman" w:eastAsia="楷体_GB2312"/>
          <w:sz w:val="32"/>
          <w:highlight w:val="none"/>
        </w:rPr>
        <w:t>期）</w:t>
      </w:r>
    </w:p>
    <w:p>
      <w:pPr>
        <w:spacing w:line="560" w:lineRule="exact"/>
        <w:ind w:right="-147" w:rightChars="-70"/>
        <w:textAlignment w:val="center"/>
        <w:rPr>
          <w:rFonts w:ascii="Times New Roman" w:hAnsi="Times New Roman" w:eastAsia="方正仿宋简体"/>
          <w:sz w:val="30"/>
          <w:szCs w:val="30"/>
          <w:highlight w:val="none"/>
        </w:rPr>
      </w:pPr>
    </w:p>
    <w:p>
      <w:pPr>
        <w:spacing w:line="560" w:lineRule="exact"/>
        <w:textAlignment w:val="center"/>
        <w:rPr>
          <w:rFonts w:ascii="Times New Roman" w:hAnsi="Times New Roman" w:eastAsia="楷体_GB2312"/>
          <w:sz w:val="32"/>
          <w:highlight w:val="none"/>
        </w:rPr>
      </w:pPr>
      <w:r>
        <w:rPr>
          <w:rFonts w:ascii="Times New Roman" w:hAnsi="Times New Roman" w:eastAsia="楷体_GB2312"/>
          <w:sz w:val="32"/>
          <w:highlight w:val="none"/>
        </w:rPr>
        <w:t>深圳证券交易所</w:t>
      </w:r>
      <w:r>
        <w:rPr>
          <w:rFonts w:hint="eastAsia" w:ascii="Times New Roman" w:hAnsi="Times New Roman" w:eastAsia="楷体_GB2312"/>
          <w:sz w:val="32"/>
          <w:highlight w:val="none"/>
        </w:rPr>
        <w:t>会计监管部</w:t>
      </w:r>
      <w:r>
        <w:rPr>
          <w:rFonts w:ascii="Times New Roman" w:hAnsi="Times New Roman" w:eastAsia="楷体_GB2312"/>
          <w:sz w:val="32"/>
          <w:highlight w:val="none"/>
        </w:rPr>
        <w:t xml:space="preserve">            20</w:t>
      </w:r>
      <w:r>
        <w:rPr>
          <w:rFonts w:hint="eastAsia" w:ascii="Times New Roman" w:hAnsi="Times New Roman" w:eastAsia="楷体_GB2312"/>
          <w:sz w:val="32"/>
          <w:highlight w:val="none"/>
        </w:rPr>
        <w:t>2</w:t>
      </w:r>
      <w:r>
        <w:rPr>
          <w:rFonts w:hint="default" w:ascii="Times New Roman" w:hAnsi="Times New Roman" w:eastAsia="楷体_GB2312"/>
          <w:sz w:val="32"/>
          <w:highlight w:val="none"/>
          <w:lang w:val="en-US"/>
        </w:rPr>
        <w:t>4</w:t>
      </w:r>
      <w:r>
        <w:rPr>
          <w:rFonts w:ascii="Times New Roman" w:hAnsi="Times New Roman" w:eastAsia="楷体_GB2312"/>
          <w:sz w:val="32"/>
          <w:highlight w:val="none"/>
        </w:rPr>
        <w:t>年</w:t>
      </w:r>
      <w:r>
        <w:rPr>
          <w:rFonts w:hint="eastAsia" w:ascii="Times New Roman" w:hAnsi="Times New Roman" w:eastAsia="楷体_GB2312"/>
          <w:sz w:val="32"/>
          <w:highlight w:val="none"/>
          <w:lang w:val="en-US" w:eastAsia="zh-CN"/>
        </w:rPr>
        <w:t>10</w:t>
      </w:r>
      <w:r>
        <w:rPr>
          <w:rFonts w:ascii="Times New Roman" w:hAnsi="Times New Roman" w:eastAsia="楷体_GB2312"/>
          <w:sz w:val="32"/>
          <w:highlight w:val="none"/>
        </w:rPr>
        <w:t>月</w:t>
      </w:r>
      <w:r>
        <w:rPr>
          <w:rFonts w:hint="eastAsia" w:ascii="Times New Roman" w:hAnsi="Times New Roman" w:eastAsia="楷体_GB2312"/>
          <w:sz w:val="32"/>
          <w:highlight w:val="none"/>
          <w:lang w:val="en-US" w:eastAsia="zh-CN"/>
        </w:rPr>
        <w:t>31</w:t>
      </w:r>
      <w:r>
        <w:rPr>
          <w:rFonts w:ascii="Times New Roman" w:hAnsi="Times New Roman" w:eastAsia="楷体_GB2312"/>
          <w:sz w:val="32"/>
          <w:highlight w:val="none"/>
        </w:rPr>
        <w:t>日</w:t>
      </w:r>
    </w:p>
    <w:p>
      <w:pPr>
        <w:spacing w:line="560" w:lineRule="exact"/>
        <w:textAlignment w:val="center"/>
        <w:rPr>
          <w:rFonts w:ascii="Times New Roman" w:hAnsi="Times New Roman" w:eastAsia="黑体"/>
          <w:b/>
          <w:sz w:val="30"/>
          <w:szCs w:val="22"/>
          <w:highlight w:val="none"/>
        </w:rPr>
      </w:pPr>
      <w:r>
        <w:rPr>
          <w:rFonts w:ascii="Times New Roman" w:hAnsi="Times New Roman"/>
          <w:sz w:val="20"/>
          <w:highlight w:val="none"/>
        </w:rPr>
        <mc:AlternateContent>
          <mc:Choice Requires="wps">
            <w:drawing>
              <wp:anchor distT="0" distB="0" distL="114300" distR="114300" simplePos="0" relativeHeight="251671552" behindDoc="0" locked="0" layoutInCell="1" allowOverlap="1">
                <wp:simplePos x="0" y="0"/>
                <wp:positionH relativeFrom="column">
                  <wp:posOffset>1905</wp:posOffset>
                </wp:positionH>
                <wp:positionV relativeFrom="paragraph">
                  <wp:posOffset>33020</wp:posOffset>
                </wp:positionV>
                <wp:extent cx="5463540" cy="0"/>
                <wp:effectExtent l="42545" t="13970" r="56515" b="9271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463540" cy="0"/>
                        </a:xfrm>
                        <a:prstGeom prst="line">
                          <a:avLst/>
                        </a:prstGeom>
                        <a:noFill/>
                        <a:ln w="19050" cmpd="sng">
                          <a:solidFill>
                            <a:schemeClr val="accent1"/>
                          </a:solidFill>
                          <a:round/>
                        </a:ln>
                        <a:effectLst>
                          <a:outerShdw blurRad="50800" dist="38100" dir="5400000" algn="t" rotWithShape="0">
                            <a:prstClr val="black">
                              <a:alpha val="40000"/>
                            </a:prstClr>
                          </a:outerShdw>
                        </a:effectLst>
                      </wps:spPr>
                      <wps:bodyPr/>
                    </wps:wsp>
                  </a:graphicData>
                </a:graphic>
              </wp:anchor>
            </w:drawing>
          </mc:Choice>
          <mc:Fallback>
            <w:pict>
              <v:line id="_x0000_s1026" o:spid="_x0000_s1026" o:spt="20" style="position:absolute;left:0pt;margin-left:0.15pt;margin-top:2.6pt;height:0pt;width:430.2pt;z-index:251671552;mso-width-relative:page;mso-height-relative:page;" filled="f" stroked="t" coordsize="21600,21600" o:gfxdata="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n0+L0wAAAAQBAAAPAAAAAAAAAAEAIAAAACIAAABk&#10;cnMvZG93bnJldi54bWxQSwECFAAUAAAACACHTuJAIvTL6EQCAABqBAAADgAAAAAAAAABACAAAAAi&#10;AQAAZHJzL2Uyb0RvYy54bWxQSwUGAAAAAAYABgBZAQAA2AUAAAAA&#10;">
                <v:fill on="f" focussize="0,0"/>
                <v:stroke weight="1.5pt" color="#5B9BD5 [3204]" joinstyle="round"/>
                <v:imagedata o:title=""/>
                <o:lock v:ext="edit" aspectratio="f"/>
                <v:shadow on="t" color="#000000" opacity="26214f" offset="0pt,3pt" origin="0f,-32768f" matrix="65536f,0f,0f,65536f"/>
              </v:line>
            </w:pict>
          </mc:Fallback>
        </mc:AlternateContent>
      </w:r>
    </w:p>
    <w:p>
      <w:pPr>
        <w:topLinePunct/>
        <w:adjustRightInd w:val="0"/>
        <w:snapToGrid w:val="0"/>
        <w:spacing w:line="560" w:lineRule="exact"/>
        <w:ind w:firstLine="640" w:firstLineChars="200"/>
        <w:rPr>
          <w:rFonts w:hint="eastAsia" w:ascii="仿宋" w:hAnsi="仿宋" w:eastAsia="仿宋" w:cs="仿宋"/>
          <w:color w:val="000000"/>
          <w:sz w:val="32"/>
          <w:szCs w:val="32"/>
          <w:highlight w:val="none"/>
          <w:lang w:eastAsia="zh-CN"/>
        </w:rPr>
      </w:pPr>
      <w:r>
        <w:rPr>
          <w:rFonts w:hint="eastAsia" w:ascii="黑体" w:hAnsi="黑体" w:eastAsia="黑体" w:cs="Times New Roman"/>
          <w:color w:val="000000"/>
          <w:sz w:val="32"/>
          <w:szCs w:val="32"/>
          <w:highlight w:val="none"/>
        </w:rPr>
        <w:t>编者按：</w:t>
      </w:r>
      <w:r>
        <w:rPr>
          <w:rFonts w:hint="eastAsia" w:ascii="仿宋" w:hAnsi="仿宋" w:eastAsia="仿宋" w:cs="仿宋"/>
          <w:color w:val="000000"/>
          <w:sz w:val="32"/>
          <w:szCs w:val="32"/>
          <w:highlight w:val="none"/>
          <w:lang w:eastAsia="zh-CN"/>
        </w:rPr>
        <w:t>今年</w:t>
      </w:r>
      <w:r>
        <w:rPr>
          <w:rFonts w:hint="default" w:ascii="仿宋" w:hAnsi="仿宋" w:eastAsia="仿宋" w:cs="仿宋"/>
          <w:color w:val="000000"/>
          <w:sz w:val="32"/>
          <w:szCs w:val="32"/>
          <w:highlight w:val="none"/>
          <w:lang w:val="en-US" w:eastAsia="zh-CN"/>
        </w:rPr>
        <w:t>9</w:t>
      </w:r>
      <w:r>
        <w:rPr>
          <w:rFonts w:hint="eastAsia" w:ascii="仿宋" w:hAnsi="仿宋" w:eastAsia="仿宋" w:cs="仿宋"/>
          <w:color w:val="000000"/>
          <w:sz w:val="32"/>
          <w:szCs w:val="32"/>
          <w:highlight w:val="none"/>
          <w:lang w:val="en-US" w:eastAsia="zh-CN"/>
        </w:rPr>
        <w:t>月</w:t>
      </w:r>
      <w:r>
        <w:rPr>
          <w:rFonts w:hint="eastAsia" w:ascii="仿宋" w:hAnsi="仿宋" w:eastAsia="仿宋" w:cs="仿宋"/>
          <w:color w:val="000000"/>
          <w:sz w:val="32"/>
          <w:szCs w:val="32"/>
          <w:highlight w:val="none"/>
          <w:lang w:eastAsia="zh-CN"/>
        </w:rPr>
        <w:t>，证监会发布《关于深化上市公司并购重组市场改革的意见》，支持上市公司向新质生产力方向转型升级，加强产业整合，进一步激发并购重组市场活力。</w:t>
      </w:r>
    </w:p>
    <w:p>
      <w:pPr>
        <w:topLinePunct/>
        <w:adjustRightInd w:val="0"/>
        <w:snapToGrid w:val="0"/>
        <w:spacing w:line="560" w:lineRule="exact"/>
        <w:ind w:firstLine="640" w:firstLineChars="200"/>
        <w:rPr>
          <w:rFonts w:hint="eastAsia" w:ascii="仿宋" w:hAnsi="仿宋" w:eastAsia="仿宋" w:cs="仿宋"/>
          <w:color w:val="000000"/>
          <w:sz w:val="32"/>
          <w:szCs w:val="32"/>
          <w:highlight w:val="none"/>
          <w:lang w:eastAsia="zh-CN"/>
        </w:rPr>
      </w:pPr>
      <w:r>
        <w:rPr>
          <w:rFonts w:hint="eastAsia" w:ascii="仿宋" w:hAnsi="仿宋" w:eastAsia="仿宋" w:cs="仿宋"/>
          <w:color w:val="000000"/>
          <w:sz w:val="32"/>
          <w:szCs w:val="32"/>
          <w:highlight w:val="none"/>
          <w:lang w:eastAsia="zh-CN"/>
        </w:rPr>
        <w:t>并购重组是支持经济转型升级、实现高质量发展的重要市场工具，对于大力提高上市公司质量、加快发展新质生产力具有重要意义。深化并购重组市场改革，要把握强监管、防风险、促高质量发展的主线，交易各方依法依规开展并购活动，促进形成规范有序、活跃有效的并购重组市场。</w:t>
      </w:r>
    </w:p>
    <w:p>
      <w:pPr>
        <w:topLinePunct/>
        <w:adjustRightInd w:val="0"/>
        <w:snapToGrid w:val="0"/>
        <w:spacing w:line="560" w:lineRule="exact"/>
        <w:ind w:firstLine="640" w:firstLineChars="200"/>
        <w:rPr>
          <w:rFonts w:hint="eastAsia" w:ascii="仿宋" w:hAnsi="仿宋" w:eastAsia="仿宋" w:cs="仿宋"/>
          <w:color w:val="000000"/>
          <w:sz w:val="32"/>
          <w:szCs w:val="32"/>
          <w:highlight w:val="none"/>
          <w:lang w:eastAsia="zh-CN"/>
        </w:rPr>
      </w:pPr>
      <w:r>
        <w:rPr>
          <w:rFonts w:hint="eastAsia" w:ascii="仿宋" w:hAnsi="仿宋" w:eastAsia="仿宋" w:cs="仿宋"/>
          <w:color w:val="000000"/>
          <w:sz w:val="32"/>
          <w:szCs w:val="32"/>
          <w:highlight w:val="none"/>
          <w:lang w:eastAsia="zh-CN"/>
        </w:rPr>
        <w:t>并购重组交易专业性强、复杂程度高，离不开中介机构的功能发挥。会计师事务所作为专业服务机构，为交易双方提供会计审计服务，是保障交易规范实施的重要力量。会计师事务所在执业过程中，要诚实守信、以义取利、稳健审慎、守正创新、依法合规，不断增强风险意识和责任意识，勤勉审慎执业，严格核查把关，努力提升执业质量。</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为帮助</w:t>
      </w:r>
      <w:r>
        <w:rPr>
          <w:rFonts w:hint="eastAsia" w:ascii="仿宋" w:hAnsi="仿宋" w:eastAsia="仿宋" w:cs="仿宋"/>
          <w:color w:val="000000"/>
          <w:sz w:val="32"/>
          <w:szCs w:val="32"/>
          <w:highlight w:val="none"/>
          <w:lang w:eastAsia="zh-CN"/>
        </w:rPr>
        <w:t>会计师事务所</w:t>
      </w:r>
      <w:r>
        <w:rPr>
          <w:rFonts w:hint="eastAsia" w:ascii="仿宋" w:hAnsi="仿宋" w:eastAsia="仿宋" w:cs="仿宋"/>
          <w:color w:val="000000"/>
          <w:sz w:val="32"/>
          <w:szCs w:val="32"/>
          <w:highlight w:val="none"/>
        </w:rPr>
        <w:t>了解和把握新形势下的监管要求，本期《深圳证券交易所会计监管动态》</w:t>
      </w:r>
      <w:r>
        <w:rPr>
          <w:rFonts w:hint="eastAsia" w:ascii="仿宋" w:hAnsi="仿宋" w:eastAsia="仿宋" w:cs="仿宋"/>
          <w:color w:val="000000"/>
          <w:sz w:val="32"/>
          <w:szCs w:val="32"/>
          <w:highlight w:val="none"/>
          <w:lang w:val="en-US" w:eastAsia="zh-CN"/>
        </w:rPr>
        <w:t>聚焦并购重组相关事项，</w:t>
      </w:r>
      <w:r>
        <w:rPr>
          <w:rFonts w:hint="eastAsia" w:ascii="仿宋" w:hAnsi="仿宋" w:eastAsia="仿宋" w:cs="仿宋"/>
          <w:color w:val="000000"/>
          <w:sz w:val="32"/>
          <w:szCs w:val="32"/>
          <w:highlight w:val="none"/>
        </w:rPr>
        <w:t>介绍了</w:t>
      </w:r>
      <w:r>
        <w:rPr>
          <w:rFonts w:hint="eastAsia" w:ascii="仿宋" w:hAnsi="仿宋" w:eastAsia="仿宋" w:cs="仿宋"/>
          <w:color w:val="000000"/>
          <w:sz w:val="32"/>
          <w:szCs w:val="32"/>
          <w:highlight w:val="none"/>
          <w:lang w:val="en-US" w:eastAsia="zh-CN"/>
        </w:rPr>
        <w:t>重组过程中常见</w:t>
      </w:r>
      <w:r>
        <w:rPr>
          <w:rFonts w:hint="eastAsia" w:ascii="仿宋" w:hAnsi="仿宋" w:eastAsia="仿宋" w:cs="仿宋"/>
          <w:color w:val="000000"/>
          <w:sz w:val="32"/>
          <w:szCs w:val="32"/>
          <w:highlight w:val="none"/>
        </w:rPr>
        <w:t>会计问题</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lang w:val="en-US" w:eastAsia="zh-CN"/>
        </w:rPr>
        <w:t>以及近期并购重组相关</w:t>
      </w:r>
      <w:r>
        <w:rPr>
          <w:rFonts w:hint="eastAsia" w:ascii="仿宋" w:hAnsi="仿宋" w:eastAsia="仿宋" w:cs="仿宋"/>
          <w:color w:val="000000"/>
          <w:sz w:val="32"/>
          <w:szCs w:val="32"/>
          <w:highlight w:val="none"/>
        </w:rPr>
        <w:t>政策资讯。</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监管通报方面，重点介绍了</w:t>
      </w:r>
      <w:r>
        <w:rPr>
          <w:rFonts w:hint="eastAsia" w:ascii="仿宋" w:hAnsi="仿宋" w:eastAsia="仿宋" w:cs="仿宋"/>
          <w:color w:val="000000"/>
          <w:sz w:val="32"/>
          <w:szCs w:val="32"/>
          <w:highlight w:val="none"/>
          <w:lang w:val="en-US" w:eastAsia="zh-CN"/>
        </w:rPr>
        <w:t>今年第三季度我所对会计师事务所和资产评估机构给予纪律处分的情况及相关执业问题</w:t>
      </w:r>
      <w:r>
        <w:rPr>
          <w:rFonts w:hint="eastAsia" w:ascii="仿宋" w:hAnsi="仿宋" w:eastAsia="仿宋" w:cs="仿宋"/>
          <w:color w:val="000000"/>
          <w:sz w:val="32"/>
          <w:szCs w:val="32"/>
          <w:highlight w:val="none"/>
        </w:rPr>
        <w:t>。</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会计案例方面，本期</w:t>
      </w:r>
      <w:r>
        <w:rPr>
          <w:rFonts w:hint="eastAsia" w:ascii="仿宋" w:hAnsi="仿宋" w:eastAsia="仿宋" w:cs="仿宋"/>
          <w:color w:val="000000"/>
          <w:sz w:val="32"/>
          <w:szCs w:val="32"/>
          <w:highlight w:val="none"/>
          <w:lang w:eastAsia="zh-CN"/>
        </w:rPr>
        <w:t>介绍了业务收购和资产收购等收购类型的判断、同一控制还是非同一控制下等企业合并类型的判断、是否构成一揽子交易等并购重组常见会计处理案例，注册会计师在执业过程中要注意根据准则作出合理的职业判断。</w:t>
      </w:r>
    </w:p>
    <w:p>
      <w:pPr>
        <w:topLinePunct/>
        <w:adjustRightInd w:val="0"/>
        <w:snapToGrid w:val="0"/>
        <w:spacing w:line="560" w:lineRule="exact"/>
        <w:ind w:firstLine="640" w:firstLineChars="2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eastAsia="zh-CN"/>
        </w:rPr>
        <w:t>政策</w:t>
      </w:r>
      <w:r>
        <w:rPr>
          <w:rFonts w:hint="eastAsia" w:ascii="仿宋" w:hAnsi="仿宋" w:eastAsia="仿宋" w:cs="仿宋"/>
          <w:color w:val="000000"/>
          <w:sz w:val="32"/>
          <w:szCs w:val="32"/>
          <w:highlight w:val="none"/>
        </w:rPr>
        <w:t>资讯方面，本期收录了</w:t>
      </w:r>
      <w:r>
        <w:rPr>
          <w:rFonts w:hint="eastAsia" w:ascii="仿宋" w:hAnsi="仿宋" w:eastAsia="仿宋" w:cs="仿宋"/>
          <w:color w:val="000000"/>
          <w:sz w:val="32"/>
          <w:szCs w:val="32"/>
          <w:highlight w:val="none"/>
          <w:lang w:val="en-US" w:eastAsia="zh-CN"/>
        </w:rPr>
        <w:t>《关于进一步做好资本市场财务造假综合惩防工作的意见》</w:t>
      </w:r>
      <w:r>
        <w:rPr>
          <w:rFonts w:hint="eastAsia" w:ascii="仿宋" w:hAnsi="仿宋" w:eastAsia="仿宋" w:cs="仿宋"/>
          <w:color w:val="000000"/>
          <w:sz w:val="32"/>
          <w:szCs w:val="32"/>
          <w:highlight w:val="none"/>
        </w:rPr>
        <w:t>《关于深化上市公司并购重组市场改革的意见》等通知简讯。</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《深圳证券交易所会计监管动态》不构成对现行《企业会计准则》的解释，仅供会计师事务所内部交流使用，请勿外传。如有任何意见或建议，欢迎扫描封底二维码反馈给我所会计监管部。</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p>
    <w:p>
      <w:pPr>
        <w:widowControl/>
        <w:jc w:val="left"/>
        <w:rPr>
          <w:rFonts w:ascii="仿宋" w:hAnsi="仿宋" w:eastAsia="仿宋" w:cs="Times New Roman"/>
          <w:color w:val="000000"/>
          <w:sz w:val="32"/>
          <w:szCs w:val="32"/>
          <w:highlight w:val="none"/>
        </w:rPr>
      </w:pPr>
      <w:r>
        <w:rPr>
          <w:rFonts w:ascii="仿宋" w:hAnsi="仿宋" w:eastAsia="仿宋" w:cs="Times New Roman"/>
          <w:color w:val="000000"/>
          <w:sz w:val="32"/>
          <w:szCs w:val="32"/>
          <w:highlight w:val="none"/>
        </w:rPr>
        <w:br w:type="page"/>
      </w:r>
    </w:p>
    <w:p>
      <w:pPr>
        <w:topLinePunct/>
        <w:adjustRightInd w:val="0"/>
        <w:snapToGrid w:val="0"/>
        <w:spacing w:line="560" w:lineRule="exact"/>
        <w:ind w:firstLine="640" w:firstLineChars="200"/>
        <w:outlineLvl w:val="0"/>
        <w:rPr>
          <w:rFonts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rPr>
        <w:t>一、深市会计审计监管通讯</w:t>
      </w:r>
    </w:p>
    <w:p>
      <w:pPr>
        <w:keepNext w:val="0"/>
        <w:keepLines w:val="0"/>
        <w:pageBreakBefore w:val="0"/>
        <w:kinsoku/>
        <w:wordWrap/>
        <w:overflowPunct/>
        <w:topLinePunct/>
        <w:bidi w:val="0"/>
        <w:adjustRightInd w:val="0"/>
        <w:snapToGrid w:val="0"/>
        <w:spacing w:line="560" w:lineRule="exact"/>
        <w:ind w:left="0" w:right="0" w:rightChars="0"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一</w:t>
      </w:r>
      <w:r>
        <w:rPr>
          <w:rFonts w:hint="eastAsia" w:ascii="楷体" w:hAnsi="楷体" w:eastAsia="楷体" w:cs="Times New Roman"/>
          <w:color w:val="000000"/>
          <w:sz w:val="32"/>
          <w:szCs w:val="32"/>
          <w:highlight w:val="none"/>
        </w:rPr>
        <w:t>）审计评估机构自律监管措施和纪律处分情况</w:t>
      </w:r>
    </w:p>
    <w:p>
      <w:pPr>
        <w:topLinePunct/>
        <w:adjustRightInd w:val="0"/>
        <w:snapToGrid w:val="0"/>
        <w:spacing w:line="560" w:lineRule="exact"/>
        <w:ind w:firstLine="640" w:firstLineChars="200"/>
        <w:rPr>
          <w:rFonts w:hint="eastAsia"/>
          <w:lang w:val="en-US" w:eastAsia="zh-CN"/>
        </w:rPr>
      </w:pPr>
      <w:r>
        <w:rPr>
          <w:rFonts w:hint="eastAsia" w:ascii="仿宋" w:hAnsi="仿宋" w:eastAsia="仿宋" w:cs="Times New Roman"/>
          <w:color w:val="000000"/>
          <w:sz w:val="32"/>
          <w:szCs w:val="32"/>
          <w:highlight w:val="none"/>
        </w:rPr>
        <w:t>我所</w:t>
      </w:r>
      <w:r>
        <w:rPr>
          <w:rFonts w:hint="eastAsia" w:ascii="仿宋" w:hAnsi="仿宋" w:eastAsia="仿宋" w:cs="Times New Roman"/>
          <w:color w:val="000000"/>
          <w:sz w:val="32"/>
          <w:szCs w:val="32"/>
          <w:highlight w:val="none"/>
          <w:lang w:eastAsia="zh-CN"/>
        </w:rPr>
        <w:t>坚守监管主责主业，</w:t>
      </w:r>
      <w:r>
        <w:rPr>
          <w:rFonts w:hint="eastAsia" w:ascii="仿宋" w:hAnsi="仿宋" w:eastAsia="仿宋" w:cs="Times New Roman"/>
          <w:color w:val="000000"/>
          <w:sz w:val="32"/>
          <w:szCs w:val="32"/>
          <w:highlight w:val="none"/>
        </w:rPr>
        <w:t>围绕推动提高上市公司质量、严把发行上市“入口关”</w:t>
      </w:r>
      <w:r>
        <w:rPr>
          <w:rFonts w:hint="eastAsia" w:ascii="仿宋" w:hAnsi="仿宋" w:eastAsia="仿宋" w:cs="Times New Roman"/>
          <w:color w:val="000000"/>
          <w:sz w:val="32"/>
          <w:szCs w:val="32"/>
          <w:highlight w:val="none"/>
          <w:lang w:eastAsia="zh-CN"/>
        </w:rPr>
        <w:t>目标</w:t>
      </w:r>
      <w:r>
        <w:rPr>
          <w:rFonts w:hint="eastAsia" w:ascii="仿宋" w:hAnsi="仿宋" w:eastAsia="仿宋" w:cs="Times New Roman"/>
          <w:color w:val="000000"/>
          <w:sz w:val="32"/>
          <w:szCs w:val="32"/>
          <w:highlight w:val="none"/>
        </w:rPr>
        <w:t>，按照“零容忍”的工作方针，依法依规查处审计评估机构各类违规行为。202</w:t>
      </w: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年</w:t>
      </w:r>
      <w:r>
        <w:rPr>
          <w:rFonts w:hint="eastAsia"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月至</w:t>
      </w:r>
      <w:r>
        <w:rPr>
          <w:rFonts w:hint="eastAsia" w:ascii="仿宋" w:hAnsi="仿宋" w:eastAsia="仿宋" w:cs="Times New Roman"/>
          <w:color w:val="000000"/>
          <w:sz w:val="32"/>
          <w:szCs w:val="32"/>
          <w:highlight w:val="none"/>
          <w:lang w:val="en-US" w:eastAsia="zh-CN"/>
        </w:rPr>
        <w:t>9</w:t>
      </w:r>
      <w:r>
        <w:rPr>
          <w:rFonts w:hint="eastAsia" w:ascii="仿宋" w:hAnsi="仿宋" w:eastAsia="仿宋" w:cs="Times New Roman"/>
          <w:color w:val="000000"/>
          <w:sz w:val="32"/>
          <w:szCs w:val="32"/>
          <w:highlight w:val="none"/>
        </w:rPr>
        <w:t>月，我所共对审计机构</w:t>
      </w:r>
      <w:r>
        <w:rPr>
          <w:rFonts w:hint="eastAsia" w:ascii="仿宋" w:hAnsi="仿宋" w:eastAsia="仿宋" w:cs="Times New Roman"/>
          <w:color w:val="000000"/>
          <w:sz w:val="32"/>
          <w:szCs w:val="32"/>
          <w:highlight w:val="none"/>
          <w:lang w:eastAsia="zh-CN"/>
        </w:rPr>
        <w:t>或</w:t>
      </w:r>
      <w:r>
        <w:rPr>
          <w:rFonts w:hint="eastAsia" w:ascii="仿宋" w:hAnsi="仿宋" w:eastAsia="仿宋" w:cs="Times New Roman"/>
          <w:color w:val="000000"/>
          <w:sz w:val="32"/>
          <w:szCs w:val="32"/>
          <w:highlight w:val="none"/>
        </w:rPr>
        <w:t>其从业人员作出</w:t>
      </w:r>
      <w:r>
        <w:rPr>
          <w:rFonts w:hint="eastAsia" w:ascii="仿宋" w:hAnsi="仿宋" w:eastAsia="仿宋" w:cs="Times New Roman"/>
          <w:color w:val="000000"/>
          <w:sz w:val="32"/>
          <w:szCs w:val="32"/>
          <w:highlight w:val="none"/>
          <w:lang w:val="en-US" w:eastAsia="zh-CN"/>
        </w:rPr>
        <w:t>暂不受理文件并处公开谴责</w:t>
      </w:r>
      <w:r>
        <w:rPr>
          <w:rFonts w:hint="default"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lang w:val="en-US" w:eastAsia="zh-CN"/>
        </w:rPr>
        <w:t>例、公开谴责</w:t>
      </w:r>
      <w:r>
        <w:rPr>
          <w:rFonts w:hint="default" w:ascii="仿宋" w:hAnsi="仿宋" w:eastAsia="仿宋" w:cs="Times New Roman"/>
          <w:color w:val="000000"/>
          <w:sz w:val="32"/>
          <w:szCs w:val="32"/>
          <w:highlight w:val="none"/>
          <w:lang w:val="en-US" w:eastAsia="zh-CN"/>
        </w:rPr>
        <w:t>3</w:t>
      </w:r>
      <w:r>
        <w:rPr>
          <w:rFonts w:hint="eastAsia" w:ascii="仿宋" w:hAnsi="仿宋" w:eastAsia="仿宋" w:cs="Times New Roman"/>
          <w:color w:val="000000"/>
          <w:sz w:val="32"/>
          <w:szCs w:val="32"/>
          <w:highlight w:val="none"/>
          <w:lang w:val="en-US" w:eastAsia="zh-CN"/>
        </w:rPr>
        <w:t>例、</w:t>
      </w:r>
      <w:r>
        <w:rPr>
          <w:rFonts w:hint="eastAsia" w:ascii="仿宋" w:hAnsi="仿宋" w:eastAsia="仿宋" w:cs="Times New Roman"/>
          <w:color w:val="000000"/>
          <w:sz w:val="32"/>
          <w:szCs w:val="32"/>
          <w:highlight w:val="none"/>
          <w:lang w:eastAsia="zh-CN"/>
        </w:rPr>
        <w:t>通报批评</w:t>
      </w:r>
      <w:r>
        <w:rPr>
          <w:rFonts w:hint="default" w:ascii="仿宋" w:hAnsi="仿宋" w:eastAsia="仿宋" w:cs="Times New Roman"/>
          <w:color w:val="000000"/>
          <w:sz w:val="32"/>
          <w:szCs w:val="32"/>
          <w:highlight w:val="none"/>
          <w:lang w:val="en-US" w:eastAsia="zh-CN"/>
        </w:rPr>
        <w:t>3</w:t>
      </w:r>
      <w:r>
        <w:rPr>
          <w:rFonts w:hint="eastAsia" w:ascii="仿宋" w:hAnsi="仿宋" w:eastAsia="仿宋" w:cs="Times New Roman"/>
          <w:color w:val="000000"/>
          <w:sz w:val="32"/>
          <w:szCs w:val="32"/>
          <w:highlight w:val="none"/>
          <w:lang w:val="en-US" w:eastAsia="zh-CN"/>
        </w:rPr>
        <w:t>例、</w:t>
      </w:r>
      <w:r>
        <w:rPr>
          <w:rFonts w:hint="eastAsia" w:ascii="仿宋" w:hAnsi="仿宋" w:eastAsia="仿宋" w:cs="Times New Roman"/>
          <w:color w:val="000000"/>
          <w:sz w:val="32"/>
          <w:szCs w:val="32"/>
          <w:highlight w:val="none"/>
        </w:rPr>
        <w:t>书面警示</w:t>
      </w:r>
      <w:r>
        <w:rPr>
          <w:rFonts w:hint="eastAsia" w:ascii="仿宋" w:hAnsi="仿宋" w:eastAsia="仿宋" w:cs="Times New Roman"/>
          <w:color w:val="000000"/>
          <w:sz w:val="32"/>
          <w:szCs w:val="32"/>
          <w:highlight w:val="none"/>
          <w:lang w:val="en-US" w:eastAsia="zh-CN"/>
        </w:rPr>
        <w:t>1</w:t>
      </w:r>
      <w:r>
        <w:rPr>
          <w:rFonts w:hint="default" w:ascii="仿宋" w:hAnsi="仿宋" w:eastAsia="仿宋" w:cs="Times New Roman"/>
          <w:color w:val="000000"/>
          <w:sz w:val="32"/>
          <w:szCs w:val="32"/>
          <w:highlight w:val="none"/>
          <w:lang w:val="en-US" w:eastAsia="zh-CN"/>
        </w:rPr>
        <w:t>0</w:t>
      </w:r>
      <w:r>
        <w:rPr>
          <w:rFonts w:hint="eastAsia" w:ascii="仿宋" w:hAnsi="仿宋" w:eastAsia="仿宋" w:cs="Times New Roman"/>
          <w:color w:val="000000"/>
          <w:sz w:val="32"/>
          <w:szCs w:val="32"/>
          <w:highlight w:val="none"/>
        </w:rPr>
        <w:t>例，涉及</w:t>
      </w:r>
      <w:r>
        <w:rPr>
          <w:rFonts w:hint="eastAsia" w:ascii="仿宋" w:hAnsi="仿宋" w:eastAsia="仿宋" w:cs="Times New Roman"/>
          <w:color w:val="000000"/>
          <w:sz w:val="32"/>
          <w:szCs w:val="32"/>
          <w:highlight w:val="none"/>
          <w:lang w:val="en-US" w:eastAsia="zh-CN"/>
        </w:rPr>
        <w:t>1</w:t>
      </w:r>
      <w:r>
        <w:rPr>
          <w:rFonts w:hint="default"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家次审计机构及</w:t>
      </w:r>
      <w:r>
        <w:rPr>
          <w:rFonts w:hint="default" w:ascii="仿宋" w:hAnsi="仿宋" w:eastAsia="仿宋" w:cs="Times New Roman"/>
          <w:color w:val="000000"/>
          <w:sz w:val="32"/>
          <w:szCs w:val="32"/>
          <w:highlight w:val="none"/>
          <w:lang w:val="en-US" w:eastAsia="zh-CN"/>
        </w:rPr>
        <w:t>46</w:t>
      </w:r>
      <w:r>
        <w:rPr>
          <w:rFonts w:hint="eastAsia" w:ascii="仿宋" w:hAnsi="仿宋" w:eastAsia="仿宋" w:cs="Times New Roman"/>
          <w:color w:val="000000"/>
          <w:sz w:val="32"/>
          <w:szCs w:val="32"/>
          <w:highlight w:val="none"/>
        </w:rPr>
        <w:t>人次从业人员</w:t>
      </w:r>
      <w:r>
        <w:rPr>
          <w:rFonts w:hint="eastAsia" w:ascii="仿宋" w:hAnsi="仿宋" w:eastAsia="仿宋" w:cs="Times New Roman"/>
          <w:color w:val="000000"/>
          <w:sz w:val="32"/>
          <w:szCs w:val="32"/>
          <w:highlight w:val="none"/>
          <w:lang w:val="en-US" w:eastAsia="zh-CN"/>
        </w:rPr>
        <w:t>。</w:t>
      </w:r>
      <w:r>
        <w:rPr>
          <w:rFonts w:hint="eastAsia" w:ascii="仿宋" w:hAnsi="仿宋" w:eastAsia="仿宋" w:cs="Times New Roman"/>
          <w:color w:val="000000"/>
          <w:sz w:val="32"/>
          <w:szCs w:val="32"/>
          <w:highlight w:val="none"/>
        </w:rPr>
        <w:t>相关审计机构执业问题主要表现为：</w:t>
      </w:r>
    </w:p>
    <w:p>
      <w:pPr>
        <w:keepNext w:val="0"/>
        <w:keepLines w:val="0"/>
        <w:pageBreakBefore w:val="0"/>
        <w:kinsoku/>
        <w:wordWrap/>
        <w:overflowPunct/>
        <w:topLinePunct/>
        <w:bidi w:val="0"/>
        <w:adjustRightInd w:val="0"/>
        <w:snapToGrid w:val="0"/>
        <w:spacing w:line="560" w:lineRule="exact"/>
        <w:ind w:left="0" w:right="0" w:rightChars="0" w:firstLine="643" w:firstLineChars="200"/>
        <w:rPr>
          <w:rFonts w:hint="default" w:ascii="仿宋" w:hAnsi="仿宋" w:eastAsia="仿宋" w:cs="Times New Roman"/>
          <w:b/>
          <w:bCs/>
          <w:color w:val="000000"/>
          <w:sz w:val="32"/>
          <w:szCs w:val="32"/>
          <w:highlight w:val="none"/>
          <w:lang w:val="en-US" w:eastAsia="zh-CN"/>
        </w:rPr>
      </w:pPr>
      <w:r>
        <w:rPr>
          <w:rFonts w:hint="eastAsia" w:ascii="仿宋" w:hAnsi="仿宋" w:eastAsia="仿宋" w:cs="Times New Roman"/>
          <w:b/>
          <w:bCs/>
          <w:color w:val="000000"/>
          <w:sz w:val="32"/>
          <w:szCs w:val="32"/>
          <w:highlight w:val="none"/>
          <w:lang w:val="en-US" w:eastAsia="zh-CN"/>
        </w:rPr>
        <w:t>1</w:t>
      </w:r>
      <w:r>
        <w:rPr>
          <w:rFonts w:hint="eastAsia" w:ascii="仿宋" w:hAnsi="仿宋" w:eastAsia="仿宋" w:cs="Times New Roman"/>
          <w:b/>
          <w:bCs/>
          <w:color w:val="000000"/>
          <w:sz w:val="32"/>
          <w:szCs w:val="32"/>
          <w:highlight w:val="none"/>
        </w:rPr>
        <w:t>．</w:t>
      </w:r>
      <w:r>
        <w:rPr>
          <w:rFonts w:hint="eastAsia" w:ascii="仿宋" w:hAnsi="仿宋" w:eastAsia="仿宋" w:cs="Times New Roman"/>
          <w:b/>
          <w:bCs/>
          <w:color w:val="000000"/>
          <w:sz w:val="32"/>
          <w:szCs w:val="32"/>
          <w:highlight w:val="none"/>
          <w:lang w:val="en-US" w:eastAsia="zh-CN"/>
        </w:rPr>
        <w:t>在IPO审计业务中核查把关不严</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内部控制相关程序执行不到位。例如，未充分关注并审慎核查发行人业务推广相关内部控制薄弱环节及部分推广活动验收存在瑕疵的情形；未充分关注发行人销售、存货、研发管理相关制度不完善等内控缺陷；未对发行人与关联方或第三方直接进行资金拆借的财务内控不规范情形充分审慎核查等。</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资金流水核查程序执行不到位。例如，部分达到核查标准的交易未核查、未注明部分纳入核查范围的交易背景及性质；对达到核查标准的信用卡还款支出仅取证信用卡还款记录，未进一步核查具体消费情况等。</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走访程序执行不到位。例如，未对主要客户仓库进行实地走访核查；经销商下游客户走访底稿未见核对客户及经营者信息的相关材料；部分终端客户实地走访底稿未留存访谈人员身份信息等证明材料、视频访谈底稿均无被访谈人员签字以及部分访谈无身份信息截图等。 </w:t>
      </w:r>
    </w:p>
    <w:p>
      <w:pPr>
        <w:keepNext w:val="0"/>
        <w:keepLines w:val="0"/>
        <w:pageBreakBefore w:val="0"/>
        <w:widowControl/>
        <w:kinsoku/>
        <w:wordWrap/>
        <w:overflowPunct/>
        <w:topLinePunct w:val="0"/>
        <w:bidi w:val="0"/>
        <w:adjustRightInd/>
        <w:snapToGrid/>
        <w:spacing w:beforeLines="0" w:afterLines="0" w:line="560" w:lineRule="exact"/>
        <w:ind w:left="0" w:right="0" w:rightChars="0" w:firstLine="640" w:firstLineChars="200"/>
        <w:rPr>
          <w:rFonts w:hint="eastAsia" w:ascii="仿宋" w:hAnsi="仿宋" w:eastAsia="仿宋" w:cs="Times New Roman"/>
          <w:i w:val="0"/>
          <w:iCs w:val="0"/>
          <w:caps w:val="0"/>
          <w:color w:val="000000"/>
          <w:spacing w:val="0"/>
          <w:sz w:val="32"/>
          <w:szCs w:val="32"/>
          <w:highlight w:val="none"/>
          <w:shd w:val="clear"/>
          <w:lang w:val="en-US" w:eastAsia="zh-CN"/>
        </w:rPr>
      </w:pPr>
      <w:r>
        <w:rPr>
          <w:rFonts w:hint="eastAsia" w:ascii="仿宋" w:hAnsi="仿宋" w:eastAsia="仿宋" w:cs="仿宋"/>
          <w:sz w:val="32"/>
          <w:szCs w:val="32"/>
          <w:lang w:val="en-US" w:eastAsia="zh-CN"/>
        </w:rPr>
        <w:t>（4）关联方核查程序执行不到位。例如，未对个人提供大额借款并用于发行人日常经营的异常情况保持合理怀疑，未审慎核查该个人与发行人的关联关系。</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b/>
          <w:bCs/>
          <w:color w:val="000000"/>
          <w:sz w:val="32"/>
          <w:szCs w:val="32"/>
          <w:highlight w:val="none"/>
          <w:lang w:eastAsia="zh-CN"/>
        </w:rPr>
      </w:pPr>
      <w:r>
        <w:rPr>
          <w:rFonts w:hint="eastAsia" w:ascii="仿宋" w:hAnsi="仿宋" w:eastAsia="仿宋" w:cs="Times New Roman"/>
          <w:i w:val="0"/>
          <w:iCs w:val="0"/>
          <w:caps w:val="0"/>
          <w:color w:val="000000"/>
          <w:spacing w:val="0"/>
          <w:sz w:val="32"/>
          <w:szCs w:val="32"/>
          <w:highlight w:val="none"/>
          <w:shd w:val="clear"/>
          <w:lang w:val="en-US" w:eastAsia="zh-CN"/>
        </w:rPr>
        <w:t>2</w:t>
      </w:r>
      <w:r>
        <w:rPr>
          <w:rFonts w:hint="eastAsia" w:ascii="仿宋" w:hAnsi="仿宋" w:eastAsia="仿宋" w:cs="Times New Roman"/>
          <w:b/>
          <w:bCs/>
          <w:color w:val="000000"/>
          <w:sz w:val="32"/>
          <w:szCs w:val="32"/>
          <w:highlight w:val="none"/>
        </w:rPr>
        <w:t>．</w:t>
      </w:r>
      <w:r>
        <w:rPr>
          <w:rFonts w:hint="eastAsia" w:ascii="仿宋" w:hAnsi="仿宋" w:eastAsia="仿宋" w:cs="Times New Roman"/>
          <w:b/>
          <w:bCs/>
          <w:color w:val="000000"/>
          <w:sz w:val="32"/>
          <w:szCs w:val="32"/>
          <w:highlight w:val="none"/>
          <w:lang w:eastAsia="zh-CN"/>
        </w:rPr>
        <w:t>年报审计过程中未勤勉尽责</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Times New Roman"/>
          <w:i w:val="0"/>
          <w:iCs w:val="0"/>
          <w:caps w:val="0"/>
          <w:color w:val="000000"/>
          <w:spacing w:val="0"/>
          <w:sz w:val="32"/>
          <w:szCs w:val="32"/>
          <w:highlight w:val="none"/>
          <w:shd w:val="clear"/>
          <w:lang w:val="en-US" w:eastAsia="zh-CN"/>
        </w:rPr>
        <w:t>（1）风险评估程序执行不到位。</w:t>
      </w:r>
      <w:r>
        <w:rPr>
          <w:rFonts w:hint="eastAsia" w:ascii="仿宋" w:hAnsi="仿宋" w:eastAsia="仿宋" w:cs="仿宋"/>
          <w:sz w:val="32"/>
          <w:szCs w:val="32"/>
          <w:lang w:val="en-US" w:eastAsia="zh-CN"/>
        </w:rPr>
        <w:t>例如，未结合对被审计单位及其环境的了解，保持应有的职业怀疑和职业谨慎；审计底稿中未见在财务报表层次识别和评估重大错报风险的审计程序，也未见根据职业判断确定识别出的风险是否为特别风险的审计程序；认定应收账款及坏账准备等均存在舞弊风险，但却未将其作为特别风险；将货币资金评估为重要账户，且关注到异常事项，但未将货币资金识别为认定层次的重大错报风险等。</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Times New Roman"/>
          <w:i w:val="0"/>
          <w:iCs w:val="0"/>
          <w:caps w:val="0"/>
          <w:color w:val="000000"/>
          <w:spacing w:val="0"/>
          <w:sz w:val="32"/>
          <w:szCs w:val="32"/>
          <w:highlight w:val="none"/>
          <w:shd w:val="clear"/>
          <w:lang w:val="en-US" w:eastAsia="zh-CN"/>
        </w:rPr>
        <w:t>（2）</w:t>
      </w:r>
      <w:r>
        <w:rPr>
          <w:rFonts w:hint="eastAsia" w:ascii="仿宋" w:hAnsi="仿宋" w:eastAsia="仿宋" w:cs="仿宋"/>
          <w:sz w:val="32"/>
          <w:szCs w:val="32"/>
          <w:lang w:val="en-US" w:eastAsia="zh-CN"/>
        </w:rPr>
        <w:t>内部控制相关程序执行不到位。例如，未实施恰当的审计程序了解和评估新增的供应链代采业务相关内部控制有效性，且审计底稿中关于相关内部控制有效的结论缺乏审计依据；贸易类存货的内部控制测试存在缺陷，在所选取样本不符合控制活动要求、抽样样本规模不足或未抽取盘点记录样本等情况下，仍得出相关控制运行有效的结论；在销售与收款流程控制测试过程中，未充分关注合同审批控制测试存在偏差，“控制运行有效”的结论缺乏充分、适当的审计证据支撑等。</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 w:hAnsi="仿宋" w:eastAsia="仿宋" w:cs="Times New Roman"/>
          <w:i w:val="0"/>
          <w:iCs w:val="0"/>
          <w:caps w:val="0"/>
          <w:color w:val="000000"/>
          <w:spacing w:val="0"/>
          <w:sz w:val="32"/>
          <w:szCs w:val="32"/>
          <w:highlight w:val="none"/>
          <w:shd w:val="clear"/>
          <w:lang w:val="en-US" w:eastAsia="zh-CN"/>
        </w:rPr>
      </w:pPr>
      <w:r>
        <w:rPr>
          <w:rFonts w:hint="eastAsia" w:ascii="仿宋" w:hAnsi="仿宋" w:eastAsia="仿宋" w:cs="Times New Roman"/>
          <w:i w:val="0"/>
          <w:iCs w:val="0"/>
          <w:caps w:val="0"/>
          <w:color w:val="000000"/>
          <w:spacing w:val="0"/>
          <w:sz w:val="32"/>
          <w:szCs w:val="32"/>
          <w:highlight w:val="none"/>
          <w:shd w:val="clear"/>
          <w:lang w:val="en-US" w:eastAsia="zh-CN"/>
        </w:rPr>
        <w:t>（3）实质性程序执行不到位</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一是</w:t>
      </w:r>
      <w:r>
        <w:rPr>
          <w:rFonts w:hint="eastAsia" w:ascii="仿宋" w:hAnsi="仿宋" w:eastAsia="仿宋" w:cs="仿宋"/>
          <w:sz w:val="32"/>
          <w:szCs w:val="32"/>
          <w:lang w:val="en-US" w:eastAsia="zh-CN"/>
        </w:rPr>
        <w:t>收入核查程序执行不到位。例如，对部分重要客户未按照审计计划查看客户供应商系统对账单；未对贸易业务低毛利、长账期、新增贸易类客户资质、大量贸易业务仓单交易异常、贸易业务不按合同约定履行等情况保持职业怀疑；未完整获取并检查保理和供应链代采业务对应的基础交易合同及发票、物流凭证等资料，未就相关收入获取充分、适当的审计证据；对客户和供应商的访谈程序存在缺陷，未审慎评估访谈所获取审计证据的可靠性。</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二是</w:t>
      </w:r>
      <w:r>
        <w:rPr>
          <w:rFonts w:hint="eastAsia" w:ascii="仿宋" w:hAnsi="仿宋" w:eastAsia="仿宋" w:cs="仿宋"/>
          <w:sz w:val="32"/>
          <w:szCs w:val="32"/>
          <w:lang w:val="en-US" w:eastAsia="zh-CN"/>
        </w:rPr>
        <w:t>货币资金核查程序执行不到位。例如，未现场获取银行对账单，对对账单中流水信息、印鉴、格式等存在大量明显异常未予应有的关注；大额资金流水检查在抽样规模、检查内容等方面均不能满足应收账款的审计要求，无法为应收账款审计提供充分的证据；未通过2份银行对账单的明显矛盾之处识别出可能存在虚假银行对账单；未按要求监盘开户证实书原件，未对定期存款可能存在的质押风险保持职业怀疑。</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三是</w:t>
      </w:r>
      <w:r>
        <w:rPr>
          <w:rFonts w:hint="eastAsia" w:ascii="仿宋" w:hAnsi="仿宋" w:eastAsia="仿宋" w:cs="仿宋"/>
          <w:sz w:val="32"/>
          <w:szCs w:val="32"/>
          <w:lang w:val="en-US" w:eastAsia="zh-CN"/>
        </w:rPr>
        <w:t>存货核查程序执行不到位。例如，未按照拟定的监盘范围实施存货监盘；对第三方贸易仓存货通过获取公司盘点表作为监盘替代程序，未合理评估存货监盘可行性；底稿留存的存货监盘照片未见盘点标识、权属标签，并存在监盘记录签字、日期异常情况等。</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四是</w:t>
      </w:r>
      <w:r>
        <w:rPr>
          <w:rFonts w:hint="eastAsia" w:ascii="仿宋" w:hAnsi="仿宋" w:eastAsia="仿宋" w:cs="仿宋"/>
          <w:sz w:val="32"/>
          <w:szCs w:val="32"/>
          <w:lang w:val="en-US" w:eastAsia="zh-CN"/>
        </w:rPr>
        <w:t>应收账款、应付账款、预付账款等往来科目核查程序执行不到位。例如，未对往来科目中不同客商之间的对冲凭证保持职业怀疑；未对重要供应商预付账款异常情况保持职业怀疑；未对与无业务往来的公司之间存在的大额、频繁开具商业汇票的情况、与主营业务相关的应付款项在“其他应付款”科目核算等情况保持职业怀疑。</w:t>
      </w:r>
    </w:p>
    <w:p>
      <w:pPr>
        <w:keepNext w:val="0"/>
        <w:keepLines w:val="0"/>
        <w:pageBreakBefore w:val="0"/>
        <w:widowControl/>
        <w:kinsoku/>
        <w:wordWrap/>
        <w:overflowPunct/>
        <w:topLinePunct w:val="0"/>
        <w:bidi w:val="0"/>
        <w:adjustRightInd/>
        <w:snapToGrid/>
        <w:spacing w:beforeLines="0" w:afterLines="0" w:line="560" w:lineRule="exact"/>
        <w:ind w:left="0" w:right="0" w:rightChars="0" w:firstLine="643" w:firstLineChars="200"/>
        <w:rPr>
          <w:rFonts w:hint="eastAsia" w:ascii="仿宋" w:hAnsi="仿宋" w:eastAsia="仿宋" w:cs="Times New Roman"/>
          <w:color w:val="000000"/>
          <w:sz w:val="32"/>
          <w:szCs w:val="32"/>
          <w:highlight w:val="none"/>
          <w:lang w:eastAsia="zh-CN"/>
        </w:rPr>
      </w:pPr>
      <w:r>
        <w:rPr>
          <w:rFonts w:hint="eastAsia" w:ascii="仿宋" w:hAnsi="仿宋" w:eastAsia="仿宋" w:cs="仿宋"/>
          <w:b/>
          <w:bCs/>
          <w:sz w:val="32"/>
          <w:szCs w:val="32"/>
          <w:lang w:val="en-US" w:eastAsia="zh-CN"/>
        </w:rPr>
        <w:t>五是</w:t>
      </w:r>
      <w:r>
        <w:rPr>
          <w:rFonts w:hint="eastAsia" w:ascii="仿宋" w:hAnsi="仿宋" w:eastAsia="仿宋" w:cs="仿宋"/>
          <w:sz w:val="32"/>
          <w:szCs w:val="32"/>
          <w:lang w:val="en-US" w:eastAsia="zh-CN"/>
        </w:rPr>
        <w:t>函证程序执行不到位。例如，未对开立余额为零、余额较小账户实施函证程序，审计工作底稿中未说明对相关银行账户不实施函证的理由；对银行存款函证存在回函寄件人为公司人员、回函快递单寄件单位和地址均为空白等异常情况，未保持职业怀疑；未关注某供应商同一年份询证回函印章不一致、收回的询证函与函证原件相关印章位置不一致等情形；未对发函收件地址进行充分核实，未充分核实回函地址与发函地址不符的情况等。</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二</w:t>
      </w:r>
      <w:r>
        <w:rPr>
          <w:rFonts w:hint="eastAsia" w:ascii="楷体" w:hAnsi="楷体" w:eastAsia="楷体" w:cs="Times New Roman"/>
          <w:color w:val="000000"/>
          <w:sz w:val="32"/>
          <w:szCs w:val="32"/>
          <w:highlight w:val="none"/>
        </w:rPr>
        <w:t>）审计评估机构行政处罚情况</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rPr>
        <w:t>公开信息显示，202</w:t>
      </w: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年</w:t>
      </w:r>
      <w:r>
        <w:rPr>
          <w:rFonts w:hint="eastAsia"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月至</w:t>
      </w:r>
      <w:r>
        <w:rPr>
          <w:rFonts w:hint="eastAsia" w:ascii="仿宋" w:hAnsi="仿宋" w:eastAsia="仿宋" w:cs="Times New Roman"/>
          <w:color w:val="000000"/>
          <w:sz w:val="32"/>
          <w:szCs w:val="32"/>
          <w:highlight w:val="none"/>
          <w:lang w:val="en-US" w:eastAsia="zh-CN"/>
        </w:rPr>
        <w:t>9</w:t>
      </w:r>
      <w:r>
        <w:rPr>
          <w:rFonts w:hint="eastAsia" w:ascii="仿宋" w:hAnsi="仿宋" w:eastAsia="仿宋" w:cs="Times New Roman"/>
          <w:color w:val="000000"/>
          <w:sz w:val="32"/>
          <w:szCs w:val="32"/>
          <w:highlight w:val="none"/>
        </w:rPr>
        <w:t>月，证监会及其派出机构共</w:t>
      </w:r>
      <w:r>
        <w:rPr>
          <w:rFonts w:hint="eastAsia" w:ascii="仿宋" w:hAnsi="仿宋" w:eastAsia="仿宋" w:cs="Times New Roman"/>
          <w:color w:val="000000"/>
          <w:sz w:val="32"/>
          <w:szCs w:val="32"/>
          <w:highlight w:val="none"/>
          <w:lang w:val="en-US" w:eastAsia="zh-CN"/>
        </w:rPr>
        <w:t>对</w:t>
      </w:r>
      <w:r>
        <w:rPr>
          <w:rFonts w:ascii="仿宋" w:hAnsi="仿宋" w:eastAsia="仿宋" w:cs="Times New Roman"/>
          <w:color w:val="000000"/>
          <w:sz w:val="32"/>
          <w:szCs w:val="32"/>
          <w:highlight w:val="none"/>
        </w:rPr>
        <w:t>深市上市公司</w:t>
      </w:r>
      <w:r>
        <w:rPr>
          <w:rFonts w:hint="eastAsia" w:ascii="仿宋" w:hAnsi="仿宋" w:eastAsia="仿宋" w:cs="Times New Roman"/>
          <w:color w:val="000000"/>
          <w:sz w:val="32"/>
          <w:szCs w:val="32"/>
          <w:highlight w:val="none"/>
          <w:lang w:eastAsia="zh-CN"/>
        </w:rPr>
        <w:t>聘任的</w:t>
      </w:r>
      <w:r>
        <w:rPr>
          <w:rFonts w:hint="eastAsia" w:ascii="仿宋" w:hAnsi="仿宋" w:eastAsia="仿宋" w:cs="Times New Roman"/>
          <w:color w:val="000000"/>
          <w:sz w:val="32"/>
          <w:szCs w:val="32"/>
          <w:highlight w:val="none"/>
        </w:rPr>
        <w:t>审计机构</w:t>
      </w:r>
      <w:r>
        <w:rPr>
          <w:rFonts w:hint="eastAsia" w:ascii="仿宋" w:hAnsi="仿宋" w:eastAsia="仿宋" w:cs="Times New Roman"/>
          <w:color w:val="000000"/>
          <w:sz w:val="32"/>
          <w:szCs w:val="32"/>
          <w:highlight w:val="none"/>
          <w:lang w:val="en-US" w:eastAsia="zh-CN"/>
        </w:rPr>
        <w:t>作出7单行政处罚及2单市场禁入，</w:t>
      </w:r>
      <w:r>
        <w:rPr>
          <w:rFonts w:hint="eastAsia" w:ascii="仿宋" w:hAnsi="仿宋" w:eastAsia="仿宋" w:cs="Times New Roman"/>
          <w:color w:val="000000"/>
          <w:sz w:val="32"/>
          <w:szCs w:val="32"/>
          <w:highlight w:val="none"/>
        </w:rPr>
        <w:t>相关审计机构执业质量问题主要表现为：</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Times New Roman"/>
          <w:color w:val="000000"/>
          <w:sz w:val="32"/>
          <w:szCs w:val="32"/>
          <w:highlight w:val="none"/>
          <w:lang w:val="en-US" w:eastAsia="zh-CN"/>
        </w:rPr>
        <w:t>1</w:t>
      </w:r>
      <w:r>
        <w:rPr>
          <w:rFonts w:hint="eastAsia" w:ascii="仿宋" w:hAnsi="仿宋" w:eastAsia="仿宋" w:cs="Times New Roman"/>
          <w:color w:val="000000"/>
          <w:sz w:val="32"/>
          <w:szCs w:val="32"/>
          <w:highlight w:val="none"/>
        </w:rPr>
        <w:t>．</w:t>
      </w:r>
      <w:r>
        <w:rPr>
          <w:rFonts w:hint="eastAsia" w:ascii="仿宋" w:hAnsi="仿宋" w:eastAsia="仿宋" w:cs="Times New Roman"/>
          <w:i w:val="0"/>
          <w:iCs w:val="0"/>
          <w:caps w:val="0"/>
          <w:color w:val="000000"/>
          <w:spacing w:val="0"/>
          <w:sz w:val="32"/>
          <w:szCs w:val="32"/>
          <w:highlight w:val="none"/>
          <w:shd w:val="clear"/>
          <w:lang w:val="en-US" w:eastAsia="zh-CN"/>
        </w:rPr>
        <w:t>风险评估程序执行不到位。</w:t>
      </w:r>
      <w:r>
        <w:rPr>
          <w:rFonts w:hint="eastAsia" w:ascii="仿宋" w:hAnsi="仿宋" w:eastAsia="仿宋" w:cs="仿宋"/>
          <w:sz w:val="32"/>
          <w:szCs w:val="32"/>
          <w:lang w:val="en-US" w:eastAsia="zh-CN"/>
        </w:rPr>
        <w:t xml:space="preserve">例如，在穿行测试程序中未见入库单等与采购相关的原始凭证和物流单据复印件等重要的外部证据相关资料；审计底稿中未见在财务报表层次识别和评估重大错报风险的审计程序，也未见根据职业判断确定识别出的风险是否为特别风险的审计程序；在业务承接评价时获取的高管名单、主要财务人员信息与实际不符，对公司经营风险、财务状况及本次鉴证业务项目组现场负责人的有关记录与实际不符；依据当年确认收入占前两年预售金额比率较低，得出当年提前确认收入舞弊风险较低的审计结论，但未列示审计证据证明该比率与提前确认收入舞弊风险存在关联性；未对公司协商替换样本行为的动机保持合理的职业怀疑，未识别和评估存在的重大舞弊风险因素。 </w:t>
      </w:r>
    </w:p>
    <w:p>
      <w:pPr>
        <w:keepNext w:val="0"/>
        <w:keepLines w:val="0"/>
        <w:pageBreakBefore w:val="0"/>
        <w:widowControl/>
        <w:kinsoku/>
        <w:wordWrap/>
        <w:overflowPunct/>
        <w:topLinePunct w:val="0"/>
        <w:bidi w:val="0"/>
        <w:adjustRightInd/>
        <w:snapToGrid/>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w:t>
      </w:r>
      <w:r>
        <w:rPr>
          <w:rFonts w:hint="eastAsia" w:ascii="仿宋" w:hAnsi="仿宋" w:eastAsia="仿宋" w:cs="Times New Roman"/>
          <w:color w:val="000000"/>
          <w:sz w:val="32"/>
          <w:szCs w:val="32"/>
          <w:highlight w:val="none"/>
        </w:rPr>
        <w:t>．</w:t>
      </w:r>
      <w:r>
        <w:rPr>
          <w:rFonts w:hint="eastAsia" w:ascii="仿宋" w:hAnsi="仿宋" w:eastAsia="仿宋" w:cs="仿宋"/>
          <w:sz w:val="32"/>
          <w:szCs w:val="32"/>
          <w:lang w:val="en-US" w:eastAsia="zh-CN"/>
        </w:rPr>
        <w:t>内部控制相关程序执行不到位。例如，未见对贸易业务内部控制活动和流程的了解、描述及评价，未对公司两种不同的业务模式进行全面的了解、描述和测试；内控测试程序表中设计的检查证据与实际检查获取的审计证据不符，也未说明证据不符或未获取相关证据的理由；“销售与收款循环—控制测试样本测试”底稿记录不完整，也未见留存与测试样本相关的审计证据。</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left"/>
        <w:textAlignment w:val="auto"/>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3</w:t>
      </w:r>
      <w:r>
        <w:rPr>
          <w:rFonts w:hint="eastAsia" w:ascii="仿宋" w:hAnsi="仿宋" w:eastAsia="仿宋" w:cs="Times New Roman"/>
          <w:color w:val="000000"/>
          <w:sz w:val="32"/>
          <w:szCs w:val="32"/>
          <w:highlight w:val="none"/>
        </w:rPr>
        <w:t>．</w:t>
      </w:r>
      <w:r>
        <w:rPr>
          <w:rFonts w:hint="eastAsia" w:ascii="仿宋" w:hAnsi="仿宋" w:eastAsia="仿宋" w:cs="Times New Roman"/>
          <w:color w:val="000000"/>
          <w:sz w:val="32"/>
          <w:szCs w:val="32"/>
          <w:highlight w:val="none"/>
          <w:lang w:val="en-US" w:eastAsia="zh-CN"/>
        </w:rPr>
        <w:t>实质性程序执行不到位</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3" w:firstLineChars="200"/>
        <w:jc w:val="left"/>
        <w:textAlignment w:val="auto"/>
        <w:rPr>
          <w:rFonts w:hint="eastAsia" w:ascii="仿宋" w:hAnsi="仿宋" w:eastAsia="仿宋" w:cs="仿宋"/>
          <w:sz w:val="32"/>
          <w:szCs w:val="32"/>
          <w:lang w:val="en-US" w:eastAsia="zh-CN"/>
        </w:rPr>
      </w:pPr>
      <w:r>
        <w:rPr>
          <w:rFonts w:hint="eastAsia" w:ascii="仿宋" w:hAnsi="仿宋" w:eastAsia="仿宋" w:cs="Times New Roman"/>
          <w:b/>
          <w:bCs/>
          <w:color w:val="000000"/>
          <w:sz w:val="32"/>
          <w:szCs w:val="32"/>
          <w:highlight w:val="none"/>
          <w:lang w:val="en-US" w:eastAsia="zh-CN"/>
        </w:rPr>
        <w:t>一是</w:t>
      </w:r>
      <w:r>
        <w:rPr>
          <w:rFonts w:hint="eastAsia" w:ascii="仿宋" w:hAnsi="仿宋" w:eastAsia="仿宋" w:cs="Times New Roman"/>
          <w:color w:val="000000"/>
          <w:sz w:val="32"/>
          <w:szCs w:val="32"/>
          <w:highlight w:val="none"/>
          <w:lang w:val="en-US" w:eastAsia="zh-CN"/>
        </w:rPr>
        <w:t>收入相关核查程序执行不到位。</w:t>
      </w:r>
      <w:r>
        <w:rPr>
          <w:rFonts w:hint="eastAsia" w:ascii="仿宋" w:hAnsi="仿宋" w:eastAsia="仿宋" w:cs="仿宋"/>
          <w:sz w:val="32"/>
          <w:szCs w:val="32"/>
          <w:lang w:val="en-US" w:eastAsia="zh-CN"/>
        </w:rPr>
        <w:t>例如，未对货款代付业务的真实性实施进一步程序，在原代付协议未能完整执行的情况下，未关注相关原因，未考虑新的代付协议签署的合理性，面对较高的管理层舞弊风险，未对代付业务真实性实施进一步鉴证程序；未恰当考虑部分项目已售货物仍存放在公司租赁仓库对收入确认判断的影响；未对公司提供的项目合同审慎评价，未发现相关合同内容前后矛盾等异常情形；未发现受托加工公司经营模式与营业执照经营范围不符的异常情况，对于被访谈人介绍的业务模式直接予以采信，未保持合理的职业怀疑；在审计范围严重受限的情况下，直接接受新样本执行现场观察程序，未采取相关措施消除限制，亦未对被替换掉的样本执行替代程序；未关注18家公司既是客户又是供应商的异常情况。</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3" w:firstLineChars="200"/>
        <w:jc w:val="left"/>
        <w:textAlignment w:val="auto"/>
        <w:rPr>
          <w:rFonts w:hint="eastAsia" w:ascii="仿宋" w:hAnsi="仿宋" w:eastAsia="仿宋" w:cs="仿宋"/>
          <w:sz w:val="32"/>
          <w:szCs w:val="32"/>
          <w:lang w:val="en-US" w:eastAsia="zh-CN"/>
        </w:rPr>
      </w:pPr>
      <w:r>
        <w:rPr>
          <w:rFonts w:hint="eastAsia" w:ascii="仿宋" w:hAnsi="仿宋" w:eastAsia="仿宋" w:cs="Times New Roman"/>
          <w:b/>
          <w:bCs/>
          <w:color w:val="000000"/>
          <w:sz w:val="32"/>
          <w:szCs w:val="32"/>
          <w:highlight w:val="none"/>
          <w:lang w:val="en-US" w:eastAsia="zh-CN"/>
        </w:rPr>
        <w:t>二是</w:t>
      </w:r>
      <w:r>
        <w:rPr>
          <w:rFonts w:hint="eastAsia" w:ascii="仿宋" w:hAnsi="仿宋" w:eastAsia="仿宋" w:cs="仿宋"/>
          <w:sz w:val="32"/>
          <w:szCs w:val="32"/>
          <w:lang w:val="en-US" w:eastAsia="zh-CN"/>
        </w:rPr>
        <w:t>存货</w:t>
      </w:r>
      <w:r>
        <w:rPr>
          <w:rFonts w:hint="eastAsia" w:ascii="仿宋" w:hAnsi="仿宋" w:eastAsia="仿宋" w:cs="Times New Roman"/>
          <w:color w:val="000000"/>
          <w:sz w:val="32"/>
          <w:szCs w:val="32"/>
          <w:highlight w:val="none"/>
          <w:lang w:val="en-US" w:eastAsia="zh-CN"/>
        </w:rPr>
        <w:t>相关核查程序执行不到位</w:t>
      </w:r>
      <w:r>
        <w:rPr>
          <w:rFonts w:hint="eastAsia" w:ascii="仿宋" w:hAnsi="仿宋" w:eastAsia="仿宋" w:cs="仿宋"/>
          <w:sz w:val="32"/>
          <w:szCs w:val="32"/>
          <w:lang w:val="en-US" w:eastAsia="zh-CN"/>
        </w:rPr>
        <w:t>。例如，对于存货大额挂账项目与已验收项目名称、合同编号一致的异常情形未执行进一步审计程序予以核实；对大额发出商品的监盘仅获取现场照片，审计底稿未见盘点表，无监盘记录。</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3"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三是</w:t>
      </w:r>
      <w:r>
        <w:rPr>
          <w:rFonts w:hint="eastAsia" w:ascii="仿宋" w:hAnsi="仿宋" w:eastAsia="仿宋" w:cs="Times New Roman"/>
          <w:color w:val="000000"/>
          <w:sz w:val="32"/>
          <w:szCs w:val="32"/>
          <w:highlight w:val="none"/>
          <w:lang w:val="en-US" w:eastAsia="zh-CN"/>
        </w:rPr>
        <w:t>函证程序执行不到位。</w:t>
      </w:r>
      <w:r>
        <w:rPr>
          <w:rFonts w:hint="eastAsia" w:ascii="仿宋" w:hAnsi="仿宋" w:eastAsia="仿宋" w:cs="仿宋"/>
          <w:sz w:val="32"/>
          <w:szCs w:val="32"/>
          <w:lang w:val="en-US" w:eastAsia="zh-CN"/>
        </w:rPr>
        <w:t>例如，在关注到公司相关客户首次回函结果与其会计处理不一致的情况下，未充分考虑向该客户函证的可靠性，仅实施追加函证的审计程序；对于回函快递单不同单位的月结账号及快递员代码一致、回函快递单月结账号系公司与快递公司结算快递费用账号等异常情况未保持合理的职业怀疑并予以关注；未核对被询证者地址，未审慎关注询证函收件人系公司员工，未对不同客户回函寄件人一致的异常情况予以关注；在寄发询证函时，针对同一银行的发函地址并不相同等。</w:t>
      </w:r>
    </w:p>
    <w:p>
      <w:pPr>
        <w:keepNext w:val="0"/>
        <w:keepLines w:val="0"/>
        <w:pageBreakBefore w:val="0"/>
        <w:widowControl/>
        <w:kinsoku/>
        <w:wordWrap/>
        <w:overflowPunct/>
        <w:topLinePunct w:val="0"/>
        <w:bidi w:val="0"/>
        <w:adjustRightInd/>
        <w:snapToGrid/>
        <w:spacing w:beforeLines="0" w:afterLines="0" w:line="560" w:lineRule="exact"/>
        <w:ind w:left="0" w:right="0" w:rightChars="0" w:firstLine="640" w:firstLineChars="200"/>
        <w:jc w:val="left"/>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w:t>
      </w:r>
      <w:r>
        <w:rPr>
          <w:rFonts w:hint="eastAsia" w:ascii="仿宋" w:hAnsi="仿宋" w:eastAsia="仿宋" w:cs="仿宋"/>
          <w:sz w:val="32"/>
          <w:szCs w:val="32"/>
          <w:lang w:val="en-US" w:eastAsia="zh-CN"/>
        </w:rPr>
        <w:t>质量控制复核程序执行不到位。例如，在年报审计项目质量控制复核人员要求补充的审计程序未执行，项目质量控制复核流程未完成的情况下，出具审计报告；现场观察程序复核工作流于形式，在开展审计底稿复核工作中，审计复核人员基于对现场观察人员的信任出具复核结论，复核程序完全失效。</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outlineLvl w:val="0"/>
        <w:rPr>
          <w:rFonts w:hint="eastAsia" w:ascii="黑体" w:hAnsi="黑体" w:eastAsia="黑体" w:cs="Times New Roman"/>
          <w:color w:val="000000"/>
          <w:sz w:val="32"/>
          <w:szCs w:val="32"/>
          <w:highlight w:val="none"/>
          <w:lang w:val="en-US" w:eastAsia="zh-CN"/>
        </w:rPr>
      </w:pPr>
      <w:r>
        <w:rPr>
          <w:rFonts w:hint="eastAsia" w:ascii="黑体" w:hAnsi="黑体" w:eastAsia="黑体" w:cs="Times New Roman"/>
          <w:color w:val="000000"/>
          <w:sz w:val="32"/>
          <w:szCs w:val="32"/>
          <w:highlight w:val="none"/>
          <w:lang w:val="en-US" w:eastAsia="zh-CN"/>
        </w:rPr>
        <w:t>二、典型案例研究</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outlineLvl w:val="1"/>
        <w:rPr>
          <w:rFonts w:hint="eastAsia" w:ascii="楷体" w:hAnsi="楷体" w:eastAsia="楷体" w:cs="Times New Roman"/>
          <w:color w:val="000000"/>
          <w:sz w:val="32"/>
          <w:szCs w:val="32"/>
          <w:highlight w:val="none"/>
          <w:lang w:val="en-US" w:eastAsia="zh-CN"/>
        </w:rPr>
      </w:pPr>
      <w:r>
        <w:rPr>
          <w:rFonts w:hint="eastAsia" w:ascii="楷体" w:hAnsi="楷体" w:eastAsia="楷体" w:cs="Times New Roman"/>
          <w:color w:val="000000"/>
          <w:sz w:val="32"/>
          <w:szCs w:val="32"/>
          <w:highlight w:val="none"/>
          <w:lang w:val="en-US" w:eastAsia="zh-CN"/>
        </w:rPr>
        <w:t>（一）关于被收购方是否构成业务的相关问题</w:t>
      </w:r>
    </w:p>
    <w:p>
      <w:pPr>
        <w:keepNext w:val="0"/>
        <w:keepLines w:val="0"/>
        <w:pageBreakBefore w:val="0"/>
        <w:kinsoku/>
        <w:wordWrap/>
        <w:overflowPunct/>
        <w:topLinePunct/>
        <w:bidi w:val="0"/>
        <w:adjustRightInd w:val="0"/>
        <w:snapToGrid w:val="0"/>
        <w:spacing w:beforeLines="0" w:afterLines="0" w:line="560" w:lineRule="exact"/>
        <w:ind w:left="0" w:right="0" w:rightChars="0" w:firstLine="643" w:firstLineChars="200"/>
        <w:outlineLvl w:val="2"/>
        <w:rPr>
          <w:rFonts w:hint="eastAsia" w:ascii="仿宋" w:hAnsi="仿宋" w:eastAsia="仿宋" w:cs="Times New Roman"/>
          <w:b/>
          <w:bCs/>
          <w:color w:val="000000"/>
          <w:sz w:val="32"/>
          <w:szCs w:val="32"/>
          <w:highlight w:val="none"/>
          <w:lang w:val="en-US" w:eastAsia="zh-CN"/>
        </w:rPr>
      </w:pPr>
      <w:r>
        <w:rPr>
          <w:rFonts w:hint="eastAsia" w:ascii="仿宋" w:hAnsi="仿宋" w:eastAsia="仿宋" w:cs="Times New Roman"/>
          <w:b/>
          <w:bCs/>
          <w:color w:val="000000"/>
          <w:sz w:val="32"/>
          <w:szCs w:val="32"/>
          <w:highlight w:val="none"/>
          <w:lang w:val="en-US" w:eastAsia="zh-CN"/>
        </w:rPr>
        <w:t>案例一：收购时清退全部员工，是否构成收购业务？</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1．案例及相关问题</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A公司从事可再生能源投资、开发、建设、运营管理等业务。B公司为无关联第三方，持有集中式光伏电站，已取得电力业务许可证并投产运营，设计运营期为20年，交易模式为电网公司直接收购、全额上网。除前述光伏电站外，B公司未持有其他主要资产或开展其他业务。为确保光伏电站稳定运行和高效发电，B公司配有专业运维团队，对光伏电站运行情况进行日常监测、定期维护和检修等。</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20X4年，A公司现金收购B公司51%股份，获得控制权，股权转让价格参照评估基准日评估价值协商确定。股权转让协议约定，股权交割日前，B公司清退全部工作人员，解除全部劳动协议并足额支付离职补偿。控制权转移后，A公司将采用运维外包模式，通过市场化方式选取运维供应商，双方签订《年度运行维护合同》，供应商提供光伏电站运行维护、安全生产、保卫、消防及物业等日常管理，负责完成光伏电站设备的预防性试验、定期检校，以及配备所需工器具、易耗品、备品备件和承担相关费用等，A公司委派财务人员，根据运维合同对供应商进行考核。</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问题：A公司收购的B公司是否构成业务?</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2．参考意见</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业务”通常具有投入、加工处理过程、产出三要素。根据《企业会计准则解释第13号》，合并方在合并中取得的组合应当至少同时具有一项投入和一项实质性加工处理过程，且二者相结合对产出能力有显著贡献，该组合才构成业务。</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B公司的主要资产为光伏电站，根据案例描述，光伏电站需要运维团队管理才能持续产出。A公司收购B公司时，清退全部工作人员，收购后通过外包供应商提供运维服务，表明运维活动对于光伏电站持续产出很重要，交割日A公司未获得保障光伏电站正常运转所需的有知识、有技能、有组织的员工，也没有获取相关系统、标准、规则、惯例等，可供其进行光伏电站运营。</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因此，A公司实质上未获取光伏电站的加工处理过程，B公司不构成业务，A公司应当按照收购资产进行会计处理。</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3．相关规则</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（1）《企业会计准则第20号——企业合并（2006年）》</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第三条 涉及业务的合并比照本准则规定处理。</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（2）《企业会计准则第20号——企业合并》应用指南</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业务是指企业内部某些生产经营活动或资产的组合，该组合一般具有投入、加工处理过程和产出能力，能够独立计算其成本费用或所产生的收入，但不构成独立法人资格的部分。比如，企业的分公司、不具有独立法人资格的分部等。</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（3）《企业会计准则解释第13号》</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二、关于企业合并中取得的经营活动或资产的组合是否构成业务的判断</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该问题主要涉及《企业会计准则第20号——企业合并》（财会〔2006〕3号，以下简称第20号准则）、《〈企业会计准则第20号——企业合并〉应用指南》（财会〔2006〕18号，以下简称第20号指南）等规定。</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（一）构成业务的要素。</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根据第20号准则的规定，涉及构成业务的合并应当比照第20号准则规定处理。根据第20号指南的规定，业务是指企业内部某些生产经营活动或资产的组合，该组合一般具有投入、加工处理过程和产出能力，能够独立计算其成本费用或所产生的收入。合并方在合并中取得的生产经营活动或资产的组合（以下简称组合）构成业务，通常应具有下列三个要素：</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1.投入，指原材料、人工、必要的生产技术等无形资产以及构成产出能力的机器设备等其他长期资产的投入。</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2.加工处理过程，指具有一定的管理能力、运营过程，能够组织投入形成产出能力的系统、标准、协议、惯例或规则。</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3.产出，包括为客户提供的产品或服务、为投资者或债权人提供的股利或利息等投资收益，以及企业日常活动产生的其他的收益。</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（二）构成业务的判断条件。</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合并方在合并中取得的组合应当至少同时具有一项投入和一项实质性加工处理过程，且二者相结合对产出能力有显著贡献，该组合才构成业务。合并方在合并中取得的组合是否有实际产出并不是判断其构成业务的必要条件。</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企业应当考虑产出的下列情况分别判断加工处理过程是否是实质性的：</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该组合在合并日无产出的，同时满足下列条件的加工处理过程应判断为是实质性的：（1）该加工处理过程对投入转化为产出至关重要；（2）具备执行该过程所需技能、知识或经验的有组织的员工，且具备必要的材料、权利、其他经济资源等投入，例如技术、研究和开发项目、房地产或矿区权益等。</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该组合在合并日有产出的，满足下列条件之一的加工处理过程应判断为是实质性的：（1）该加工处理过程对持续产出至关重要，且具备执行该过程所需技能、知识或经验的有组织的员工；（2）该加工处理过程对产出能力有显著贡献，且该过程是独有、稀缺或难以取代的。</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企业在判断组合是否构成业务时，应当从市场参与者角度考虑可以将其作为业务进行管理和经营，而不是根据合并方的管理意图或被合并方的经营历史来判断。</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（三）判断非同一控制下企业合并中取得的组合是否构成业务，也可选择采用集中度测试。</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集中度测试是非同一控制下企业合并的购买方在判断取得的组合是否构成一项业务时，可以选择采用的一种简化判断方式。进行集中度测试时，如果购买方取得的总资产的公允价值几乎相当于其中某一单独可辨认资产或一组类似可辨认资产的公允价值的，则该组合通过集中度测试，应判断为不构成业务，且购买方无须按照上述（二）的规定进行判断；如果该组合未通过集中度测试，购买方仍应按照上述（二）的规定进行判断。</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购买方应当按照下列规定进行集中度测试：</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1.计算确定取得的总资产的公允价值。取得的总资产不包括现金及现金等价物、递延所得税资产以及由递延所得税负债影响形成的商誉。购买方通常可以通过下列公式之一计算确定取得的总资产的公允价值：</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总资产的公允价值=合并中取得的非现金资产的公允价值+（购买方支付的对价+购买日被购买方少数股东权益的公允价值+购买日前持有被购买方权益的公允价值-合并中所取得的被购买方可辨认净资产公允价值）-递延所得税资产-由递延所得税负债影响形成的商誉</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总资产的公允价值=购买方支付的对价+购买日被购买方少数股东权益的公允价值+购买日前持有被购买方权益的公允价值+取得负债的公允价值（不包括递延所得税负债）-取得的现金及现金等价物-递延所得税资产-由递延所得税负债影响形成的商誉</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关于单独可辨认资产。单独可辨认资产是企业合并中作为一项单独可辨认资产予以确认和计量的一项资产或资产组。如果资产（包括租赁资产）及其附着物分拆成本重大，应当将其一并作为一项单独可辨认资产，例如土地和建筑物。</w:t>
      </w:r>
    </w:p>
    <w:p>
      <w:pPr>
        <w:topLinePunct/>
        <w:adjustRightInd w:val="0"/>
        <w:snapToGrid w:val="0"/>
        <w:spacing w:beforeLines="0" w:afterLines="0" w:line="560" w:lineRule="exact"/>
        <w:ind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3.关于一组类似资产。企业在评估一组类似资产时，应当考虑其中每项单独可辨认资产的性质及其与管理产出相关的风险等。下列情形通常不能作为一组类似资产：（1）有形资产和无形资产；（2）不同类别的有形资产，例如存货和机器设备；（3）不同类别的可辨认无形资产，例如商标权和特许权；（4）金融资产和非金融资产；（5）不同类别的金融资产，例如应收款项和权益工具投资；（6）同一类别但风险特征存在重大差别的可辨认资产等。</w:t>
      </w:r>
    </w:p>
    <w:p>
      <w:pPr>
        <w:keepNext w:val="0"/>
        <w:keepLines w:val="0"/>
        <w:pageBreakBefore w:val="0"/>
        <w:kinsoku/>
        <w:wordWrap/>
        <w:overflowPunct/>
        <w:topLinePunct/>
        <w:bidi w:val="0"/>
        <w:adjustRightInd w:val="0"/>
        <w:snapToGrid w:val="0"/>
        <w:spacing w:beforeLines="0" w:afterLines="0" w:line="560" w:lineRule="exact"/>
        <w:ind w:left="0" w:right="0" w:rightChars="0" w:firstLine="643" w:firstLineChars="200"/>
        <w:outlineLvl w:val="2"/>
        <w:rPr>
          <w:rFonts w:hint="eastAsia" w:ascii="仿宋" w:hAnsi="仿宋" w:eastAsia="仿宋" w:cs="Times New Roman"/>
          <w:b/>
          <w:bCs/>
          <w:color w:val="000000"/>
          <w:sz w:val="32"/>
          <w:szCs w:val="32"/>
          <w:highlight w:val="none"/>
          <w:lang w:val="en-US" w:eastAsia="zh-CN"/>
        </w:rPr>
      </w:pPr>
      <w:r>
        <w:rPr>
          <w:rFonts w:hint="eastAsia" w:ascii="仿宋" w:hAnsi="仿宋" w:eastAsia="仿宋" w:cs="Times New Roman"/>
          <w:b/>
          <w:bCs/>
          <w:color w:val="000000"/>
          <w:sz w:val="32"/>
          <w:szCs w:val="32"/>
          <w:highlight w:val="none"/>
          <w:lang w:val="en-US" w:eastAsia="zh-CN"/>
        </w:rPr>
        <w:t>案例二：收购尚未产生收入的标的，是否构成收购业务？</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1．案例及相关问题</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C公司从事生物制药行业，20X4年3月现金购买D公司60%股权，交易对价以评估报告为基础，经双方谈判确定为2亿元，较可辨认净资产公允价值存在大幅溢价。C公司和D公司不存在关联关系。</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D公司为生物科技初创企业，尚处于研发及基建阶段，未产生业务收入。C公司主要考虑D公司正在参与研发某疫苗项目，对于C公司切入相关赛道具有战略意义，看中D公司相关研发能力并看好其研发前景。截至20X3年12月31日，D公司账面净资产为2,000万元，主要包括在建工程3,000万元、土地使用权500万元、长期借款1,500万元，未就疫苗项目研发支出确认开发支出或无形资产。</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问题：C公司收购的D公司是否构成业务?</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2．参考意见</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《企业会计准则解释第13号》就判断是否构成业务提供了具体指引和简化判断方法。</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若利用简化判断方法进行集中度测试，考虑到D公司股权价值较可辨认净资产公允价值存在大幅溢价，很有可能难以通过集中度测试。</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从业务的内涵来看，“业务”通常具有投入、加工处理过程、产出三要素。截至收购日，D公司疫苗产品还处于研发阶段。C公司看中其研发能力和研发前景，是基于D公司利用投入创造产出的能力而收购，很大程度上表明D公司具有实质性的加工处理过程，能够与投入结合且对产出能力有显著贡献。</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因此D公司构成业务，C公司应当按照企业合并进行会计处理。</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3．相关规则</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同案例一。</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outlineLvl w:val="1"/>
        <w:rPr>
          <w:rFonts w:hint="eastAsia" w:ascii="楷体" w:hAnsi="楷体" w:eastAsia="楷体" w:cs="楷体"/>
          <w:color w:val="000000"/>
          <w:sz w:val="32"/>
          <w:szCs w:val="32"/>
          <w:highlight w:val="none"/>
          <w:lang w:val="en-US" w:eastAsia="zh-CN"/>
        </w:rPr>
      </w:pPr>
      <w:r>
        <w:rPr>
          <w:rFonts w:hint="eastAsia" w:ascii="楷体" w:hAnsi="楷体" w:eastAsia="楷体" w:cs="楷体"/>
          <w:color w:val="000000"/>
          <w:sz w:val="32"/>
          <w:szCs w:val="32"/>
          <w:highlight w:val="none"/>
          <w:lang w:val="en-US" w:eastAsia="zh-CN"/>
        </w:rPr>
        <w:t>（二）关于企业合并类型的相关问题</w:t>
      </w:r>
    </w:p>
    <w:p>
      <w:pPr>
        <w:keepNext w:val="0"/>
        <w:keepLines w:val="0"/>
        <w:pageBreakBefore w:val="0"/>
        <w:kinsoku/>
        <w:wordWrap/>
        <w:overflowPunct/>
        <w:topLinePunct/>
        <w:bidi w:val="0"/>
        <w:adjustRightInd w:val="0"/>
        <w:snapToGrid w:val="0"/>
        <w:spacing w:beforeLines="0" w:afterLines="0" w:line="560" w:lineRule="exact"/>
        <w:ind w:left="0" w:right="0" w:rightChars="0" w:firstLine="643" w:firstLineChars="200"/>
        <w:outlineLvl w:val="2"/>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b/>
          <w:bCs/>
          <w:color w:val="000000"/>
          <w:sz w:val="32"/>
          <w:szCs w:val="32"/>
          <w:highlight w:val="none"/>
          <w:lang w:val="en-US" w:eastAsia="zh-CN"/>
        </w:rPr>
        <w:t>案例三：同一控制下的企业合并之“控制并非暂时性”的判断</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1．案例及相关问题</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20X3年3月，自然人甲购买E公司60%的股权，获得E公司的控制权。20X3年9月，E公司向自然人甲购买其持有的F公司51%股权，获得F公司的控制权。F公司系自然人甲自20X1年1月初始设立，并持续控制。</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本次交易中，E公司认为，自然人甲获得其控制权后，持股目的明确，将会长期持有并实施控制，因此，交易实质为其向控股股东购买控股股东持有的子公司股权，为同一控制下的企业合并。</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问题：E公司收购F公司51%股权是否构成同一控制下企业合并?</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2．参考意见</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根据《企业会计准则第20号——企业合并》应用指南的规定，控制并非暂时性，是指参与合并的各方在合并前后较长的时间内受同一方或相同的多方最终控制。较长的时间通常指1年以上（含1年）。</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本案例中，自然人甲于20X3年3月取得E公司控制权，到20X3年9月E公司收购F公司时，E公司受到自然人甲控制的时间仅为6个月。由于购买方在合并前受到同一方控制的时间不足1年，不满足控制并非暂时性的要求，因此E公司收购F公司不构成同一控制下企业合并。E公司仅以自然人甲未来持有意图判断控制并非暂时性，依据不够充分，还需要严格遵照企业会计准则相关要求进行认定。</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3．相关规则</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（1）《企业会计准则第20号——企业合并（2006年）》</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第五条 参与合并的企业在合并前后均受同一方或相同的多方最终控制且该控制并非暂时性的，为同一控制下的企业合并。</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（2）《企业会计准则第20号——企业合并》应用指南</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根据本准则第五条规定，参与合并的企业在合并前后均受同一方或相同的多方最终控制且该控制并非暂时性的，为同一控制下的企业合并。</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同一方，是指对参与合并的企业在合并前后均实施最终控制的投资者。</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相同的多方，通常是指根据投资者之间的协议约定，在对被投资单位的生产经营决策行使表决权时发表一致意见的两个或两个以上的投资者。</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控制并非暂时性，是指参与合并的各方在合并前后较长的时间内受同一方或相同的多方最终控制。较长的时间通常指1年以上（含1年）。</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outlineLvl w:val="1"/>
        <w:rPr>
          <w:rFonts w:hint="eastAsia" w:ascii="楷体" w:hAnsi="楷体" w:eastAsia="楷体" w:cs="楷体"/>
          <w:color w:val="000000"/>
          <w:sz w:val="32"/>
          <w:szCs w:val="32"/>
          <w:highlight w:val="none"/>
          <w:lang w:val="en-US" w:eastAsia="zh-CN"/>
        </w:rPr>
      </w:pPr>
      <w:r>
        <w:rPr>
          <w:rFonts w:hint="eastAsia" w:ascii="楷体" w:hAnsi="楷体" w:eastAsia="楷体" w:cs="楷体"/>
          <w:color w:val="000000"/>
          <w:sz w:val="32"/>
          <w:szCs w:val="32"/>
          <w:highlight w:val="none"/>
          <w:lang w:val="en-US" w:eastAsia="zh-CN"/>
        </w:rPr>
        <w:t>（三）关于一揽子交易的相关问题</w:t>
      </w:r>
    </w:p>
    <w:p>
      <w:pPr>
        <w:keepNext w:val="0"/>
        <w:keepLines w:val="0"/>
        <w:pageBreakBefore w:val="0"/>
        <w:kinsoku/>
        <w:wordWrap/>
        <w:overflowPunct/>
        <w:topLinePunct/>
        <w:bidi w:val="0"/>
        <w:adjustRightInd w:val="0"/>
        <w:snapToGrid w:val="0"/>
        <w:spacing w:beforeLines="0" w:afterLines="0" w:line="560" w:lineRule="exact"/>
        <w:ind w:left="0" w:right="0" w:rightChars="0" w:firstLine="643" w:firstLineChars="200"/>
        <w:outlineLvl w:val="2"/>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b/>
          <w:bCs/>
          <w:color w:val="000000"/>
          <w:sz w:val="32"/>
          <w:szCs w:val="32"/>
          <w:highlight w:val="none"/>
          <w:lang w:val="en-US" w:eastAsia="zh-CN"/>
        </w:rPr>
        <w:t>案例四：追加投资是否构成一揽子交易？</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1．案例及相关问题</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20X2年6月，G公司董事会审议通过现金收购H公司51%股权的议案，评估基准日H公司股权评估值为6亿元，经协商交易对价确定为3.06亿元。次日，交易各方签订《股权转让协议》，约定交易价款支付、业绩对赌、股权交割及后续交易事项等安排。G公司与交易对方不存在关联关系。</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协议约定，本交易履行标的公司及现有股东董事会和股东大会审批程序、相关主管部门审批程序（如有）后即生效，收购方应在约定时间内履行价款支付义务；标的公司董事会进行改选，G公司委派多数董事；本次交易完成后，若H公司20X2年经审计净利润超过6,000万元，则G公司必须启动收购H公司20%股权的事宜，收购时H公司估值与本次交易定价保持一致，后续交易的具体安排以届时签署的正式协议为准，并履行相应审议程序和报批程序。若因主管部门意见导致后续交易无法进行，以届时主管部门意见为准，本次交易不作调整。</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20X2年7月，G公司股东大会审议通过现金收购H公司51%股权的议案，8月按协议要求支付51%的收购价款，交易对方将H公司51%股权过户到G公司名下，G公司对H公司实施控制。</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20X3年3月，H公司经审计的年报显示净利润超过6,000万元，G公司启动收购H公司20%股权的程序。</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问题：G公司收购H公司51%股权和后续收购H公司20%股权是否为一揽子交易?</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2．参考意见</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根据企业会计准则及相关规定，判断是否构成一揽子交易，需要考虑如下因素，包括：这些交易是同时或者在考虑了彼此影响的情况下订立的；这些交易整体才能达成一项完整的商业结果；一项交易的发生取决于至少一项其他交易的发生；一项交易单独看是不经济的，但是和其他交易一并考虑时是经济的。</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本案例中，虽然20X2年签订的《股权转让协议》约定后续收购20%股权的启动条件及交易定价安排，但同时约定，后续交易的具体安排以届时签署的正式协议为准，并履行相应审议程序和报批程序。这表明两项交易虽然存在联系，但均需单独履行审议和审批程序，是两笔独立的交易。第一项交易满足相关条件后即进行股权交割实现控制，并不需要等第二项交易完成后才能实现控制，也不会因为第二项交易未完成而被撤销或更改。第一项交易根据评估结果确定交易价格，单独看是经济的，虽然约定第二项交易的定价保持一致，但未见证据表明只有两项交易一并考虑时才是经济的。</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因此，两项交易不构成一揽子交易，G公司应当将股权收购按照两次交易进行会计处理，第一次收购51%股权按非同一控制下企业合并进行会计处理，第二次收购20%股权按收购子公司少数股东权益进行会计处理。</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3．相关规则</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（1）《企业会计准则第33号——合并财务报表（2014）》</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第五十一条 企业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处置对子公司股权投资的各项交易的条款、条件以及经济影响符合下列一种或多种情况，通常表明应将多次交易事项作为一揽子交易进行会计处理：</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（一）这些交易是同时或者在考虑了彼此影响的情况下订立的。</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（二）这些交易整体才能达成一项完整的商业结果。</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（三）一项交易的发生取决于其他至少一项交易的发生。</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（四）一项交易单独考虑时是不经济的，但是和其他交易一并考虑时是经济的。</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（2）《企业会计准则第33号——合并财务报表》应用指南</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企业通过多次交易分步实现非同一控制下企业合并的，在合并财务报表上，首先，应结合分步交易的各个步骤的协议条款，以及各个步骤中所分别取得的股权比例、取得对象、取得方式、取得时点及取得对价等信息来判断分步交易是否属于“一揽子交易”。</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本准则第五十一条规定，各项交易的条款、条件以及经济影响符合以下一种或多种情况的，通常应将多次交易事项作为“一揽子交易”进行会计处理：（1）这些交易是同时或者在考虑了彼此影响的情况下订立的；（2）这些交易整体才能达成一项完整的商业结果；（3）一项交易的发生取决于至少一项其他交易的发生；（4）一项交易单独看是不经济的，但是和其他交易一并考虑时是经济的。如果分步取得对子公司股权投资直至取得控制权的各项交易属于“一揽子交易”，应当将各项交易作为一项取得子公司控制权的交易，并区分企业合并的类型分别进行会计处理。</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如果不属于“一揽子交易”，在合并财务报表中，还应区分企业合并的类型分别进行会计处理。</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对于分步实现的非同一控制下企业合并，购买日之前持有的被购买方的股权，应当按照该股权在购买日的公允价值进行重新计量，公允价值与其账面价值的差额计入当期投资收益；购买日之前持有的被购买方的股权涉及权益法核算下的其他综合收益、其他所有者权益变动的，应当转为购买日所属当期收益，由于被投资方重新计量设定受益计划净负债或净资产变动而产生的其他综合收益除外。</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对于分步实现的同一控制下企业合并，根据企业合并准则，同一控制下企业合并在编制合并财务报表时，应视同参与合并的各方在最终控制方开始控制时即以目前的状态存在进行调整，在编制比较报表时，以不早于合并方和被合并方同处于最终控制方的控制之下的时点为限，将被合并方的有关资产、负债并入合并方合并财务报表的比较报表中，并将合并而增加的净资产在比较报表中调整所有者权益项下的相关项目。</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outlineLvl w:val="9"/>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为避免对被合并方净资产的价值进行重复计算，合并方在取得被合并方控制权之前持有的股权投资，在取得原股权之日与合并方和被合并方同处于同一方最终控制之日孰晚日起至合并日之间已确认有关损益、其他综合收益以及其他净资产变动，应分别冲减比较报表期间的期初留存收益或当期损益。</w:t>
      </w:r>
    </w:p>
    <w:p>
      <w:pPr>
        <w:keepNext w:val="0"/>
        <w:keepLines w:val="0"/>
        <w:pageBreakBefore w:val="0"/>
        <w:kinsoku/>
        <w:wordWrap/>
        <w:overflowPunct/>
        <w:topLinePunct/>
        <w:bidi w:val="0"/>
        <w:adjustRightInd w:val="0"/>
        <w:snapToGrid w:val="0"/>
        <w:spacing w:beforeLines="0" w:afterLines="0" w:line="560" w:lineRule="exact"/>
        <w:ind w:left="0" w:right="0" w:rightChars="0" w:firstLine="643" w:firstLineChars="200"/>
        <w:outlineLvl w:val="2"/>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b/>
          <w:bCs/>
          <w:color w:val="000000"/>
          <w:sz w:val="32"/>
          <w:szCs w:val="32"/>
          <w:highlight w:val="none"/>
          <w:lang w:val="en-US" w:eastAsia="zh-CN"/>
        </w:rPr>
        <w:t>案例五：收购股权并增资是否构成一揽子交易？</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1．案例及相关问题</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X公司系Y公司全资子公司。某日，X公司、Y公司、Z公司签订《股权转让协议》和《增资协议》，X公司和Z公司不存在关联关系。</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《股权转让协议》约定，Y公司将其持有X公司的40%股权转让给Z公司，转让价格依据评估基准日X公司按收益法评估的股权价值乘以股权转让比例确定。</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增资协议》约定，Z公司以X公司上年年末每股收益和近期行业平均市盈率计算出来的股票价格溢价增资，Y公司放弃增资优先认缴权；本次增资前，Y公司、Z公司分别持有X公司60%、40%股份，本次增资后，Y公司、Z公司分别持有40%、60%股份。</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问题：Z公司收购原股东所持股份和增资是否构成一揽子交易?</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2．参考意见</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本案例中，不能仅因为《股权转让协议》和《增资协议》在同一天签署，且增资协议明确股权转让后的持股比例，就认为两项交易构成一揽子交易，还需要结合其它情况进一步分析。例如，Z公司未直接向Y公司购买60%股权而是通过老股转让及增资两步走的原因；两项交易价格单独看是否公允；两步交易是否整体才能达到完整的商业结果；若Z公司最终未取得控制权，第一步交易是否将整体撤销，并返还Z公司已支付价款等。</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如果转让股权和后续增资构成一揽子交易，对于Z公司来说两项交易视同一次取得控制权的交易，由于X公司与Y公司不存在关联关系，为非同一控制下企业合并，合并日是Z公司溢价增资获得控制权的时点。</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如果转让股权和后续增资不构成一揽子交易，对于Z公司来说是分步实现的非同一控制下企业合并。第一步老股转让按购买少数股权处理，第二步按追加投资取得控制权处理。</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3．相关规则</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同案例四。</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outlineLvl w:val="1"/>
        <w:rPr>
          <w:rFonts w:hint="eastAsia" w:ascii="楷体" w:hAnsi="楷体" w:eastAsia="楷体" w:cs="楷体"/>
          <w:color w:val="000000"/>
          <w:sz w:val="32"/>
          <w:szCs w:val="32"/>
          <w:highlight w:val="none"/>
          <w:lang w:val="en-US" w:eastAsia="zh-CN"/>
        </w:rPr>
      </w:pPr>
      <w:r>
        <w:rPr>
          <w:rFonts w:hint="eastAsia" w:ascii="楷体" w:hAnsi="楷体" w:eastAsia="楷体" w:cs="楷体"/>
          <w:color w:val="000000"/>
          <w:sz w:val="32"/>
          <w:szCs w:val="32"/>
          <w:highlight w:val="none"/>
          <w:lang w:val="en-US" w:eastAsia="zh-CN"/>
        </w:rPr>
        <w:t>小结</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并购重组包括股权收购、资产收购、吸收合并、分拆分立、资产划转等多种方式。本期聚焦股权收购这一方式，从购买对象是业务还是资产、收购属于同一控制下还是非同一控制下企业合并、分步收购是否构成一揽子交易三个方面，解析股权收购常见的会计处理问题。</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关于业务的判断是并购重组能否运用企业合并准则进行会计处理的第一步。有的并购虽然采用股权收购的法律形式，但其购买对象究竟是一组资产，还是一项业务，需要结合相关资产运营方式、加工处理过程等进行综合判断，尤其需要关注购买对象是否具有实质性加工处理过程。</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若属于业务，接下来则需要判断企业合并类型。准则层面明确了两类合并的定义，实务中要注意严格按照准则规定把握“控制并非暂时性”的判断标准。</w:t>
      </w:r>
    </w:p>
    <w:p>
      <w:pPr>
        <w:topLinePunct/>
        <w:adjustRightInd w:val="0"/>
        <w:snapToGrid w:val="0"/>
        <w:spacing w:beforeLines="0" w:afterLines="0" w:line="560" w:lineRule="exact"/>
        <w:ind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对于分步实施股权收购的，还需要判断是否构成一揽子交易。企业合并准则对于一揽子交易的判断原则不仅适用于分步处置，还适用于分步收购。实务中，不能仅根据两步交易同时签订协议、涉及同一标的、相互存在关联等，就认为构成一揽子交易。要结合交易实质、交易双方之间的协议或其他安排，考虑准则及相关规定中所提示的一种或多种情况来进行判断。</w:t>
      </w:r>
    </w:p>
    <w:bookmarkEnd w:id="0"/>
    <w:bookmarkEnd w:id="1"/>
    <w:bookmarkEnd w:id="2"/>
    <w:bookmarkEnd w:id="3"/>
    <w:bookmarkEnd w:id="4"/>
    <w:bookmarkEnd w:id="5"/>
    <w:p>
      <w:pPr>
        <w:topLinePunct/>
        <w:adjustRightInd w:val="0"/>
        <w:snapToGrid w:val="0"/>
        <w:spacing w:beforeLines="0" w:afterLines="0" w:line="560" w:lineRule="exact"/>
        <w:ind w:firstLine="640" w:firstLineChars="200"/>
        <w:outlineLvl w:val="9"/>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lang w:eastAsia="zh-CN"/>
        </w:rPr>
        <w:t>会计师事务所在执业过程中，要加强独立性管理，提高执业质量，审慎出具专业意见，充分发挥审计鉴证作用，同时督促公司严格遵守企业会计准则的规定，规范进行会计处理，助力提高财务信息披露质量。</w:t>
      </w:r>
    </w:p>
    <w:p>
      <w:pPr>
        <w:topLinePunct/>
        <w:adjustRightInd w:val="0"/>
        <w:snapToGrid w:val="0"/>
        <w:spacing w:beforeLines="0" w:afterLines="0" w:line="560" w:lineRule="exact"/>
        <w:ind w:firstLine="640" w:firstLineChars="200"/>
        <w:outlineLvl w:val="0"/>
        <w:rPr>
          <w:rFonts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rPr>
        <w:t>三、会计审计政策资讯</w:t>
      </w:r>
    </w:p>
    <w:p>
      <w:pPr>
        <w:topLinePunct/>
        <w:adjustRightInd w:val="0"/>
        <w:snapToGrid w:val="0"/>
        <w:spacing w:beforeLines="0" w:afterLines="0" w:line="560" w:lineRule="exact"/>
        <w:ind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（一）证监会系统会计审计政策资讯</w:t>
      </w:r>
    </w:p>
    <w:p>
      <w:pPr>
        <w:pStyle w:val="14"/>
        <w:spacing w:beforeLines="0" w:after="0" w:afterLines="0" w:line="560" w:lineRule="exact"/>
        <w:ind w:left="0" w:leftChars="0" w:firstLine="640"/>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1</w:t>
      </w:r>
      <w:r>
        <w:rPr>
          <w:rFonts w:hint="eastAsia" w:ascii="楷体" w:hAnsi="楷体" w:eastAsia="楷体" w:cs="Times New Roman"/>
          <w:color w:val="000000"/>
          <w:sz w:val="32"/>
          <w:szCs w:val="32"/>
          <w:highlight w:val="none"/>
        </w:rPr>
        <w:t>．中国证监会</w:t>
      </w:r>
      <w:r>
        <w:rPr>
          <w:rFonts w:hint="eastAsia" w:ascii="楷体" w:hAnsi="楷体" w:eastAsia="楷体" w:cs="Times New Roman"/>
          <w:color w:val="000000"/>
          <w:sz w:val="32"/>
          <w:szCs w:val="32"/>
          <w:highlight w:val="none"/>
          <w:lang w:eastAsia="zh-CN"/>
        </w:rPr>
        <w:t>等部门制定</w:t>
      </w:r>
      <w:r>
        <w:rPr>
          <w:rFonts w:hint="eastAsia" w:ascii="楷体" w:hAnsi="楷体" w:eastAsia="楷体" w:cs="Times New Roman"/>
          <w:color w:val="000000"/>
          <w:sz w:val="32"/>
          <w:szCs w:val="32"/>
          <w:highlight w:val="none"/>
        </w:rPr>
        <w:t>《关于进一步做好资本市场财务造假综合惩防工作的意见》</w:t>
      </w:r>
    </w:p>
    <w:p>
      <w:pPr>
        <w:topLinePunct/>
        <w:adjustRightInd w:val="0"/>
        <w:snapToGrid w:val="0"/>
        <w:spacing w:beforeLines="0" w:afterLines="0" w:line="560" w:lineRule="exact"/>
        <w:ind w:firstLine="64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2024年7月5日，国务院办公厅转发中国证监会、公安部、财政部、中国人民银行、金融监管总局、国务院国资委《关于进一步做好资本市场财务造假综合惩防工作的意见》，《意见》聚焦综合惩治资本市场财务造假，坚持系统观念，进一步加大打击力度，着力完善监管协同机制，构建综合惩防长效机制。《意见》共提出5方面举措，一是坚决打击和遏制重点领域财务造假。二是优化证券监管执法体制机制。三是加大全方位立体化追责力度。四是加强部际协调和央地协同。五是常态化长效化防治财务造假。</w:t>
      </w:r>
    </w:p>
    <w:p>
      <w:pPr>
        <w:pStyle w:val="14"/>
        <w:spacing w:beforeLines="0" w:after="0" w:afterLines="0" w:line="560" w:lineRule="exact"/>
        <w:ind w:left="0" w:leftChars="0" w:firstLine="640"/>
        <w:outlineLvl w:val="2"/>
        <w:rPr>
          <w:rFonts w:hint="eastAsia" w:ascii="楷体" w:hAnsi="楷体" w:eastAsia="楷体" w:cs="Times New Roman"/>
          <w:color w:val="000000"/>
          <w:sz w:val="32"/>
          <w:szCs w:val="32"/>
          <w:highlight w:val="none"/>
          <w:lang w:eastAsia="zh-CN"/>
        </w:rPr>
      </w:pPr>
      <w:r>
        <w:rPr>
          <w:rFonts w:hint="eastAsia" w:ascii="楷体" w:hAnsi="楷体" w:eastAsia="楷体" w:cs="Times New Roman"/>
          <w:color w:val="000000"/>
          <w:sz w:val="32"/>
          <w:szCs w:val="32"/>
          <w:highlight w:val="none"/>
          <w:lang w:val="en-US" w:eastAsia="zh-CN"/>
        </w:rPr>
        <w:t>2</w:t>
      </w:r>
      <w:r>
        <w:rPr>
          <w:rFonts w:hint="eastAsia" w:ascii="楷体" w:hAnsi="楷体" w:eastAsia="楷体" w:cs="Times New Roman"/>
          <w:color w:val="000000"/>
          <w:sz w:val="32"/>
          <w:szCs w:val="32"/>
          <w:highlight w:val="none"/>
        </w:rPr>
        <w:t>．中国证监会发布</w:t>
      </w:r>
      <w:r>
        <w:rPr>
          <w:rFonts w:hint="eastAsia" w:ascii="楷体" w:hAnsi="楷体" w:eastAsia="楷体" w:cs="Times New Roman"/>
          <w:color w:val="000000"/>
          <w:sz w:val="32"/>
          <w:szCs w:val="32"/>
          <w:highlight w:val="none"/>
          <w:lang w:eastAsia="zh-CN"/>
        </w:rPr>
        <w:t>《</w:t>
      </w:r>
      <w:r>
        <w:rPr>
          <w:rFonts w:hint="eastAsia" w:ascii="楷体" w:hAnsi="楷体" w:eastAsia="楷体" w:cs="Times New Roman"/>
          <w:color w:val="000000"/>
          <w:sz w:val="32"/>
          <w:szCs w:val="32"/>
          <w:highlight w:val="none"/>
        </w:rPr>
        <w:t>上市公司2023年年度财务报告会计监管报告</w:t>
      </w:r>
      <w:r>
        <w:rPr>
          <w:rFonts w:hint="eastAsia" w:ascii="楷体" w:hAnsi="楷体" w:eastAsia="楷体" w:cs="Times New Roman"/>
          <w:color w:val="000000"/>
          <w:sz w:val="32"/>
          <w:szCs w:val="32"/>
          <w:highlight w:val="none"/>
          <w:lang w:eastAsia="zh-CN"/>
        </w:rPr>
        <w:t>》</w:t>
      </w:r>
    </w:p>
    <w:p>
      <w:pPr>
        <w:topLinePunct/>
        <w:adjustRightInd w:val="0"/>
        <w:snapToGrid w:val="0"/>
        <w:spacing w:beforeLines="0" w:afterLines="0" w:line="560" w:lineRule="exact"/>
        <w:ind w:firstLine="64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2024年8月23日，中国证监会发布《上市公司2023年年度财务报告会计监管报告》。报告列举了上市公司在收入、长期股权投资与企业合并、金融工具、资产减值、所得税、非经常性损益等方面存在的会计处理问题或财务信息披露错误，并提醒上市公司和会计师事务所等中介机构高度重视相关问题，及时改正财务报告中存在的错误，不断强化理解和应用企业会计准则和财务信息披露规则的能力，稳妥做好上市公司财务信息披露相关工作。</w:t>
      </w:r>
    </w:p>
    <w:p>
      <w:pPr>
        <w:pStyle w:val="14"/>
        <w:spacing w:beforeLines="0" w:after="0" w:afterLines="0" w:line="560" w:lineRule="exact"/>
        <w:ind w:left="0" w:leftChars="0" w:firstLine="640"/>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3</w:t>
      </w:r>
      <w:r>
        <w:rPr>
          <w:rFonts w:hint="eastAsia" w:ascii="楷体" w:hAnsi="楷体" w:eastAsia="楷体" w:cs="Times New Roman"/>
          <w:color w:val="000000"/>
          <w:sz w:val="32"/>
          <w:szCs w:val="32"/>
          <w:highlight w:val="none"/>
        </w:rPr>
        <w:t>．中国证监会依法处罚恒大地产审计机构普华永道</w:t>
      </w:r>
    </w:p>
    <w:p>
      <w:pPr>
        <w:pStyle w:val="2"/>
        <w:spacing w:line="560" w:lineRule="exact"/>
        <w:ind w:firstLine="640" w:firstLineChars="200"/>
        <w:jc w:val="both"/>
        <w:rPr>
          <w:rFonts w:hint="eastAsia" w:ascii="仿宋" w:hAnsi="仿宋" w:eastAsia="仿宋" w:cs="Times New Roman"/>
          <w:color w:val="000000"/>
          <w:kern w:val="2"/>
          <w:sz w:val="32"/>
          <w:szCs w:val="32"/>
          <w:highlight w:val="none"/>
          <w:lang w:val="en-US" w:eastAsia="zh-CN"/>
        </w:rPr>
      </w:pPr>
      <w:r>
        <w:rPr>
          <w:rFonts w:hint="eastAsia" w:ascii="仿宋" w:hAnsi="仿宋" w:eastAsia="仿宋" w:cs="Times New Roman"/>
          <w:color w:val="000000"/>
          <w:kern w:val="2"/>
          <w:sz w:val="32"/>
          <w:szCs w:val="32"/>
          <w:highlight w:val="none"/>
          <w:lang w:val="en-US" w:eastAsia="zh-CN"/>
        </w:rPr>
        <w:t>2024年9月6日，中国证监会依法对普华永道涉及的恒大地产年报及债券发行审计工作未勤勉尽责案作出行政处罚，依据《中华人民共和国证券法》规定，没收普华永道涉案期间全部业务收入2,774万元，并处以顶格罚款2.97亿元，合计罚没3.25亿元。普华永道违规行为，不只是简单的审计失职、失效行为，它在一定程度上掩盖甚至纵容了恒大地产财务造假和欺诈发行公司债券，严重侵蚀法律和诚信基础，严重损害投资者合法权益，严重破坏市场信心，依法应予严惩。下一步，证监会将继续坚决落实监管“长牙带刺”、有棱有角要求，突出严监严管，持续加大对资本市场财务造假以及审计机构未勤勉尽责行为的查处和打击力度，全力维护资本市场平稳运行，全力保护投资者合法权益，为资本市场高质量发展提供有力保障。</w:t>
      </w:r>
    </w:p>
    <w:p>
      <w:pPr>
        <w:pStyle w:val="14"/>
        <w:spacing w:beforeLines="0" w:after="0" w:afterLines="0" w:line="560" w:lineRule="exact"/>
        <w:ind w:left="0" w:leftChars="0" w:firstLine="640"/>
        <w:outlineLvl w:val="2"/>
        <w:rPr>
          <w:rFonts w:hint="eastAsia" w:ascii="楷体" w:hAnsi="楷体" w:eastAsia="楷体" w:cs="Times New Roman"/>
          <w:color w:val="000000"/>
          <w:sz w:val="32"/>
          <w:szCs w:val="32"/>
          <w:highlight w:val="none"/>
          <w:lang w:eastAsia="zh-CN"/>
        </w:rPr>
      </w:pPr>
      <w:r>
        <w:rPr>
          <w:rFonts w:hint="eastAsia" w:ascii="楷体" w:hAnsi="楷体" w:eastAsia="楷体" w:cs="Times New Roman"/>
          <w:color w:val="000000"/>
          <w:sz w:val="32"/>
          <w:szCs w:val="32"/>
          <w:highlight w:val="none"/>
          <w:lang w:val="en-US" w:eastAsia="zh-CN"/>
        </w:rPr>
        <w:t>4</w:t>
      </w:r>
      <w:r>
        <w:rPr>
          <w:rFonts w:hint="eastAsia" w:ascii="楷体" w:hAnsi="楷体" w:eastAsia="楷体" w:cs="Times New Roman"/>
          <w:color w:val="000000"/>
          <w:sz w:val="32"/>
          <w:szCs w:val="32"/>
          <w:highlight w:val="none"/>
        </w:rPr>
        <w:t>．中国证监会发布《关于深化上市公司并购重组市场改革的意见》</w:t>
      </w:r>
    </w:p>
    <w:p>
      <w:pPr>
        <w:pStyle w:val="2"/>
        <w:spacing w:line="560" w:lineRule="exact"/>
        <w:ind w:firstLine="640" w:firstLineChars="200"/>
        <w:jc w:val="both"/>
        <w:rPr>
          <w:rFonts w:hint="eastAsia" w:ascii="仿宋" w:hAnsi="仿宋" w:eastAsia="仿宋" w:cs="Times New Roman"/>
          <w:color w:val="000000"/>
          <w:kern w:val="2"/>
          <w:sz w:val="32"/>
          <w:szCs w:val="32"/>
          <w:highlight w:val="none"/>
          <w:lang w:val="en-US" w:eastAsia="zh-CN"/>
        </w:rPr>
      </w:pPr>
      <w:r>
        <w:rPr>
          <w:rFonts w:hint="eastAsia" w:ascii="仿宋" w:hAnsi="仿宋" w:eastAsia="仿宋" w:cs="Times New Roman"/>
          <w:color w:val="000000"/>
          <w:kern w:val="2"/>
          <w:sz w:val="32"/>
          <w:szCs w:val="32"/>
          <w:highlight w:val="none"/>
          <w:lang w:val="en-US" w:eastAsia="zh-CN"/>
        </w:rPr>
        <w:t>2024年9月24日，中国证监会发布《关于深化上市公司并购重组市场改革的意见》。为进一步激发并购重组市场活力，更好发挥资本市场在企业并购重组中的主渠道作用，《意见》坚持市场化方向，一是支持上市公司向新质生产力方向转型升级，二是鼓励上市公司加强产业整合，三是进一步提高监管包容度，四是提升重组市场交易效率，五是提升中介机构服务水平，六是依法加强监管。</w:t>
      </w:r>
    </w:p>
    <w:p>
      <w:pPr>
        <w:pStyle w:val="14"/>
        <w:spacing w:beforeLines="0" w:after="0" w:afterLines="0" w:line="560" w:lineRule="exact"/>
        <w:ind w:left="0" w:leftChars="0" w:firstLine="640"/>
        <w:outlineLvl w:val="2"/>
        <w:rPr>
          <w:rFonts w:hint="eastAsia" w:ascii="楷体" w:hAnsi="楷体" w:eastAsia="楷体" w:cs="Times New Roman"/>
          <w:color w:val="000000"/>
          <w:sz w:val="32"/>
          <w:szCs w:val="32"/>
          <w:highlight w:val="none"/>
          <w:lang w:eastAsia="zh-CN"/>
        </w:rPr>
      </w:pPr>
      <w:r>
        <w:rPr>
          <w:rFonts w:hint="eastAsia" w:ascii="楷体" w:hAnsi="楷体" w:eastAsia="楷体" w:cs="Times New Roman"/>
          <w:color w:val="000000"/>
          <w:sz w:val="32"/>
          <w:szCs w:val="32"/>
          <w:highlight w:val="none"/>
          <w:lang w:val="en-US" w:eastAsia="zh-CN"/>
        </w:rPr>
        <w:t>5</w:t>
      </w:r>
      <w:r>
        <w:rPr>
          <w:rFonts w:hint="eastAsia" w:ascii="楷体" w:hAnsi="楷体" w:eastAsia="楷体" w:cs="Times New Roman"/>
          <w:color w:val="000000"/>
          <w:sz w:val="32"/>
          <w:szCs w:val="32"/>
          <w:highlight w:val="none"/>
        </w:rPr>
        <w:t>．中国证监会</w:t>
      </w:r>
      <w:r>
        <w:rPr>
          <w:rFonts w:hint="eastAsia" w:ascii="楷体" w:hAnsi="楷体" w:eastAsia="楷体" w:cs="Times New Roman"/>
          <w:color w:val="000000"/>
          <w:sz w:val="32"/>
          <w:szCs w:val="32"/>
          <w:highlight w:val="none"/>
          <w:lang w:eastAsia="zh-CN"/>
        </w:rPr>
        <w:t>修订</w:t>
      </w:r>
      <w:r>
        <w:rPr>
          <w:rFonts w:hint="eastAsia" w:ascii="楷体" w:hAnsi="楷体" w:eastAsia="楷体" w:cs="Times New Roman"/>
          <w:color w:val="000000"/>
          <w:sz w:val="32"/>
          <w:szCs w:val="32"/>
          <w:highlight w:val="none"/>
        </w:rPr>
        <w:t>《关于深化上市公司并购重组市场改革的意见》</w:t>
      </w:r>
      <w:r>
        <w:rPr>
          <w:rFonts w:hint="eastAsia" w:ascii="楷体" w:hAnsi="楷体" w:eastAsia="楷体" w:cs="Times New Roman"/>
          <w:color w:val="000000"/>
          <w:sz w:val="32"/>
          <w:szCs w:val="32"/>
          <w:highlight w:val="none"/>
          <w:lang w:eastAsia="zh-CN"/>
        </w:rPr>
        <w:t>，证券交易所修订</w:t>
      </w:r>
      <w:r>
        <w:rPr>
          <w:rFonts w:hint="eastAsia" w:ascii="楷体" w:hAnsi="楷体" w:eastAsia="楷体" w:cs="Times New Roman"/>
          <w:color w:val="000000"/>
          <w:sz w:val="32"/>
          <w:szCs w:val="32"/>
          <w:highlight w:val="none"/>
        </w:rPr>
        <w:t>《上市公司重大资产重组审核规则》</w:t>
      </w:r>
      <w:r>
        <w:rPr>
          <w:rFonts w:hint="eastAsia" w:ascii="楷体" w:hAnsi="楷体" w:eastAsia="楷体" w:cs="Times New Roman"/>
          <w:color w:val="000000"/>
          <w:sz w:val="32"/>
          <w:szCs w:val="32"/>
          <w:highlight w:val="none"/>
          <w:lang w:eastAsia="zh-CN"/>
        </w:rPr>
        <w:t>等，并同步公开征求意见</w:t>
      </w:r>
    </w:p>
    <w:p>
      <w:pPr>
        <w:pStyle w:val="2"/>
        <w:spacing w:line="560" w:lineRule="exact"/>
        <w:ind w:firstLine="640" w:firstLineChars="200"/>
        <w:jc w:val="both"/>
        <w:rPr>
          <w:rFonts w:hint="eastAsia" w:ascii="仿宋" w:hAnsi="仿宋" w:eastAsia="仿宋" w:cs="仿宋"/>
          <w:b w:val="0"/>
          <w:bCs/>
          <w:sz w:val="32"/>
          <w:szCs w:val="32"/>
          <w:lang w:eastAsia="zh-CN"/>
        </w:rPr>
      </w:pPr>
      <w:r>
        <w:rPr>
          <w:rFonts w:hint="eastAsia" w:ascii="仿宋" w:hAnsi="仿宋" w:eastAsia="仿宋" w:cs="Times New Roman"/>
          <w:color w:val="000000"/>
          <w:kern w:val="2"/>
          <w:sz w:val="32"/>
          <w:szCs w:val="32"/>
          <w:highlight w:val="none"/>
          <w:lang w:val="en-US" w:eastAsia="zh-CN"/>
        </w:rPr>
        <w:t>2024年9月24日，中国证监会修订</w:t>
      </w:r>
      <w:r>
        <w:rPr>
          <w:rFonts w:hint="eastAsia" w:ascii="仿宋" w:hAnsi="仿宋" w:eastAsia="仿宋" w:cs="仿宋"/>
          <w:b w:val="0"/>
          <w:bCs/>
          <w:sz w:val="32"/>
          <w:szCs w:val="32"/>
        </w:rPr>
        <w:t>《上市公司重大资产重组管理办法》</w:t>
      </w:r>
      <w:r>
        <w:rPr>
          <w:rFonts w:hint="eastAsia" w:ascii="仿宋" w:hAnsi="仿宋" w:eastAsia="仿宋" w:cs="仿宋"/>
          <w:b w:val="0"/>
          <w:bCs/>
          <w:sz w:val="32"/>
          <w:szCs w:val="32"/>
          <w:lang w:eastAsia="zh-CN"/>
        </w:rPr>
        <w:t>并公开征求意见，主要修订内容包括</w:t>
      </w:r>
      <w:r>
        <w:rPr>
          <w:rFonts w:hint="eastAsia" w:ascii="仿宋" w:hAnsi="仿宋" w:eastAsia="仿宋" w:cs="仿宋"/>
          <w:b w:val="0"/>
          <w:bCs/>
          <w:sz w:val="32"/>
          <w:szCs w:val="32"/>
        </w:rPr>
        <w:t>推动重组股份对价分期支付落地</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提高对同业竞争和关联交易的包容度</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新设重组简易审核程序</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完善锁定期规则支持上市公司之间吸收合并</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鼓励私募基金参与上市公司并购重组</w:t>
      </w:r>
      <w:r>
        <w:rPr>
          <w:rFonts w:hint="eastAsia" w:ascii="仿宋" w:hAnsi="仿宋" w:eastAsia="仿宋" w:cs="仿宋"/>
          <w:b w:val="0"/>
          <w:bCs/>
          <w:sz w:val="32"/>
          <w:szCs w:val="32"/>
          <w:lang w:eastAsia="zh-CN"/>
        </w:rPr>
        <w:t>等。</w:t>
      </w:r>
    </w:p>
    <w:p>
      <w:pPr>
        <w:pStyle w:val="2"/>
        <w:spacing w:line="560" w:lineRule="exact"/>
        <w:ind w:firstLine="640" w:firstLineChars="200"/>
        <w:jc w:val="both"/>
        <w:rPr>
          <w:rFonts w:hint="eastAsia"/>
          <w:lang w:val="en-US" w:eastAsia="zh-CN"/>
        </w:rPr>
      </w:pPr>
      <w:r>
        <w:rPr>
          <w:rFonts w:hint="eastAsia" w:ascii="仿宋" w:hAnsi="仿宋" w:eastAsia="仿宋" w:cs="仿宋"/>
          <w:b w:val="0"/>
          <w:bCs/>
          <w:sz w:val="32"/>
          <w:szCs w:val="32"/>
          <w:lang w:eastAsia="zh-CN"/>
        </w:rPr>
        <w:t>证券交易所修订</w:t>
      </w:r>
      <w:r>
        <w:rPr>
          <w:rFonts w:hint="eastAsia" w:ascii="仿宋" w:hAnsi="仿宋" w:eastAsia="仿宋" w:cs="仿宋"/>
          <w:b w:val="0"/>
          <w:bCs/>
          <w:sz w:val="32"/>
          <w:szCs w:val="32"/>
        </w:rPr>
        <w:t>《上市公司重大资产重组审核规则》</w:t>
      </w:r>
      <w:r>
        <w:rPr>
          <w:rFonts w:hint="eastAsia" w:ascii="仿宋" w:hAnsi="仿宋" w:eastAsia="仿宋" w:cs="仿宋"/>
          <w:b w:val="0"/>
          <w:bCs/>
          <w:sz w:val="32"/>
          <w:szCs w:val="32"/>
          <w:lang w:eastAsia="zh-CN"/>
        </w:rPr>
        <w:t>并公开征求意见，主要修订内容包括</w:t>
      </w:r>
      <w:r>
        <w:rPr>
          <w:rFonts w:hint="eastAsia" w:ascii="仿宋" w:hAnsi="仿宋" w:eastAsia="仿宋" w:cs="仿宋"/>
          <w:b w:val="0"/>
          <w:bCs/>
          <w:sz w:val="32"/>
          <w:szCs w:val="32"/>
        </w:rPr>
        <w:t>明确简易审核程序的适用情形</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设定简易审核程序的负面清单</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规定简易审核程序相关机制</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强化简易审核程序的各方责任</w:t>
      </w:r>
      <w:r>
        <w:rPr>
          <w:rFonts w:hint="eastAsia" w:ascii="仿宋" w:hAnsi="仿宋" w:eastAsia="仿宋" w:cs="仿宋"/>
          <w:b w:val="0"/>
          <w:bCs/>
          <w:sz w:val="32"/>
          <w:szCs w:val="32"/>
          <w:lang w:eastAsia="zh-CN"/>
        </w:rPr>
        <w:t>等。</w:t>
      </w:r>
    </w:p>
    <w:p>
      <w:pPr>
        <w:topLinePunct/>
        <w:adjustRightInd w:val="0"/>
        <w:snapToGrid w:val="0"/>
        <w:spacing w:beforeLines="0" w:afterLines="0" w:line="560" w:lineRule="exact"/>
        <w:ind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eastAsia="zh-CN"/>
        </w:rPr>
        <w:t>二</w:t>
      </w:r>
      <w:r>
        <w:rPr>
          <w:rFonts w:hint="eastAsia" w:ascii="楷体" w:hAnsi="楷体" w:eastAsia="楷体" w:cs="Times New Roman"/>
          <w:color w:val="000000"/>
          <w:sz w:val="32"/>
          <w:szCs w:val="32"/>
          <w:highlight w:val="none"/>
        </w:rPr>
        <w:t>）财政部、中注协会计审计政策资讯</w:t>
      </w:r>
    </w:p>
    <w:p>
      <w:pPr>
        <w:pStyle w:val="14"/>
        <w:spacing w:beforeLines="0" w:after="0" w:afterLines="0" w:line="560" w:lineRule="exact"/>
        <w:ind w:left="0" w:leftChars="0" w:firstLine="640"/>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1</w:t>
      </w:r>
      <w:r>
        <w:rPr>
          <w:rFonts w:hint="eastAsia" w:ascii="楷体" w:hAnsi="楷体" w:eastAsia="楷体" w:cs="Times New Roman"/>
          <w:color w:val="000000"/>
          <w:sz w:val="32"/>
          <w:szCs w:val="32"/>
          <w:highlight w:val="none"/>
        </w:rPr>
        <w:t>．全国人大常委会通过《关于修改〈中华人民共和国会计法〉的决定》</w:t>
      </w:r>
    </w:p>
    <w:p>
      <w:pPr>
        <w:topLinePunct/>
        <w:adjustRightInd w:val="0"/>
        <w:snapToGrid w:val="0"/>
        <w:spacing w:beforeLines="0" w:afterLines="0" w:line="560" w:lineRule="exact"/>
        <w:ind w:firstLine="640" w:firstLineChars="200"/>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2024年6月28日，第十四届全国人大常委会第十次会议通过《关于修改〈中华人民共和国会计法〉的决定》，自2024年7月1日起施行。</w:t>
      </w:r>
      <w:r>
        <w:rPr>
          <w:rFonts w:hint="eastAsia" w:ascii="仿宋" w:hAnsi="仿宋" w:eastAsia="仿宋" w:cs="Times New Roman"/>
          <w:color w:val="000000"/>
          <w:sz w:val="32"/>
          <w:szCs w:val="32"/>
          <w:highlight w:val="none"/>
          <w:lang w:eastAsia="zh-CN"/>
        </w:rPr>
        <w:t>此次修改进一步明确了会计工作应遵循的基本原则、应发挥的基础作用。</w:t>
      </w:r>
      <w:r>
        <w:rPr>
          <w:rFonts w:hint="eastAsia" w:ascii="仿宋" w:hAnsi="仿宋" w:eastAsia="仿宋" w:cs="Times New Roman"/>
          <w:color w:val="000000"/>
          <w:sz w:val="32"/>
          <w:szCs w:val="32"/>
          <w:highlight w:val="none"/>
          <w:lang w:val="en-US" w:eastAsia="zh-CN"/>
        </w:rPr>
        <w:t>7月至8月，财政部陆续发布新会计法系列解读一至七，系统解读新会计法。本次会计法的修改，保持现行基本制度不变，重点解决会计工作中的突出问题，进一步加强财会监督，加大对会计违法行为的处罚力度，切实提高会计信息质量，更好维护社会公共利益</w:t>
      </w:r>
      <w:r>
        <w:rPr>
          <w:rFonts w:hint="eastAsia" w:ascii="仿宋" w:hAnsi="仿宋" w:eastAsia="仿宋" w:cs="Times New Roman"/>
          <w:color w:val="000000"/>
          <w:sz w:val="32"/>
          <w:szCs w:val="32"/>
          <w:highlight w:val="none"/>
          <w:lang w:eastAsia="zh-CN"/>
        </w:rPr>
        <w:t>。</w:t>
      </w:r>
    </w:p>
    <w:p>
      <w:pPr>
        <w:topLinePunct/>
        <w:adjustRightInd w:val="0"/>
        <w:snapToGrid w:val="0"/>
        <w:spacing w:beforeLines="0" w:afterLines="0" w:line="560" w:lineRule="exact"/>
        <w:ind w:firstLine="640" w:firstLineChars="200"/>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2</w:t>
      </w:r>
      <w:r>
        <w:rPr>
          <w:rFonts w:hint="eastAsia" w:ascii="楷体" w:hAnsi="楷体" w:eastAsia="楷体" w:cs="Times New Roman"/>
          <w:color w:val="000000"/>
          <w:sz w:val="32"/>
          <w:szCs w:val="32"/>
          <w:highlight w:val="none"/>
        </w:rPr>
        <w:t>．中国注册会计师协会发布《银行函证电子平台接入会计师事务所和金融机构公告》</w:t>
      </w:r>
    </w:p>
    <w:p>
      <w:pPr>
        <w:spacing w:beforeLines="0" w:afterLines="0" w:line="560" w:lineRule="exact"/>
        <w:ind w:firstLine="640" w:firstLineChars="200"/>
        <w:rPr>
          <w:highlight w:val="none"/>
        </w:rPr>
      </w:pPr>
      <w:r>
        <w:rPr>
          <w:rFonts w:hint="eastAsia" w:ascii="仿宋" w:hAnsi="仿宋" w:eastAsia="仿宋" w:cs="Times New Roman"/>
          <w:color w:val="000000"/>
          <w:sz w:val="32"/>
          <w:szCs w:val="32"/>
          <w:highlight w:val="none"/>
        </w:rPr>
        <w:t>2024年</w:t>
      </w:r>
      <w:r>
        <w:rPr>
          <w:rFonts w:hint="eastAsia"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月2</w:t>
      </w:r>
      <w:r>
        <w:rPr>
          <w:rFonts w:hint="eastAsia" w:ascii="仿宋" w:hAnsi="仿宋" w:eastAsia="仿宋" w:cs="Times New Roman"/>
          <w:color w:val="000000"/>
          <w:sz w:val="32"/>
          <w:szCs w:val="32"/>
          <w:highlight w:val="none"/>
          <w:lang w:val="en-US" w:eastAsia="zh-CN"/>
        </w:rPr>
        <w:t>5</w:t>
      </w:r>
      <w:r>
        <w:rPr>
          <w:rFonts w:hint="eastAsia" w:ascii="仿宋" w:hAnsi="仿宋" w:eastAsia="仿宋" w:cs="Times New Roman"/>
          <w:color w:val="000000"/>
          <w:sz w:val="32"/>
          <w:szCs w:val="32"/>
          <w:highlight w:val="none"/>
        </w:rPr>
        <w:t>日，中国注册会计师协会发布《银行函证电子平台接入会计师事务所和金融机构公告》，将银行函证电子平台接入</w:t>
      </w:r>
      <w:r>
        <w:rPr>
          <w:rFonts w:hint="eastAsia" w:ascii="仿宋" w:hAnsi="仿宋" w:eastAsia="仿宋" w:cs="Times New Roman"/>
          <w:color w:val="000000"/>
          <w:sz w:val="32"/>
          <w:szCs w:val="32"/>
          <w:highlight w:val="none"/>
          <w:lang w:eastAsia="zh-CN"/>
        </w:rPr>
        <w:t>的</w:t>
      </w:r>
      <w:r>
        <w:rPr>
          <w:rFonts w:hint="eastAsia" w:ascii="仿宋" w:hAnsi="仿宋" w:eastAsia="仿宋" w:cs="Times New Roman"/>
          <w:color w:val="000000"/>
          <w:sz w:val="32"/>
          <w:szCs w:val="32"/>
          <w:highlight w:val="none"/>
          <w:lang w:val="en-US" w:eastAsia="zh-CN"/>
        </w:rPr>
        <w:t>681家</w:t>
      </w:r>
      <w:r>
        <w:rPr>
          <w:rFonts w:hint="eastAsia" w:ascii="仿宋" w:hAnsi="仿宋" w:eastAsia="仿宋" w:cs="Times New Roman"/>
          <w:color w:val="000000"/>
          <w:sz w:val="32"/>
          <w:szCs w:val="32"/>
          <w:highlight w:val="none"/>
        </w:rPr>
        <w:t>会计师事务所和</w:t>
      </w:r>
      <w:r>
        <w:rPr>
          <w:rFonts w:hint="eastAsia" w:ascii="仿宋" w:hAnsi="仿宋" w:eastAsia="仿宋" w:cs="Times New Roman"/>
          <w:color w:val="000000"/>
          <w:sz w:val="32"/>
          <w:szCs w:val="32"/>
          <w:highlight w:val="none"/>
          <w:lang w:val="en-US" w:eastAsia="zh-CN"/>
        </w:rPr>
        <w:t>1,884家</w:t>
      </w:r>
      <w:r>
        <w:rPr>
          <w:rFonts w:hint="eastAsia" w:ascii="仿宋" w:hAnsi="仿宋" w:eastAsia="仿宋" w:cs="Times New Roman"/>
          <w:color w:val="000000"/>
          <w:sz w:val="32"/>
          <w:szCs w:val="32"/>
          <w:highlight w:val="none"/>
        </w:rPr>
        <w:t>金融机构名单对外公告，以便会计师事务所、银行查询对接。</w:t>
      </w:r>
      <w:r>
        <w:rPr>
          <w:rFonts w:hint="eastAsia" w:ascii="仿宋" w:hAnsi="仿宋" w:eastAsia="仿宋" w:cs="Times New Roman"/>
          <w:color w:val="000000"/>
          <w:sz w:val="32"/>
          <w:szCs w:val="32"/>
          <w:highlight w:val="none"/>
          <w:lang w:eastAsia="zh-CN"/>
        </w:rPr>
        <w:t>公告显示，绝大部分备案从事证券服务业务的会计师事务所均已接入平台。</w:t>
      </w:r>
    </w:p>
    <w:p>
      <w:pPr>
        <w:pStyle w:val="14"/>
        <w:spacing w:beforeLines="0" w:afterLines="0"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3</w:t>
      </w: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财政部发布</w:t>
      </w:r>
      <w:r>
        <w:rPr>
          <w:rFonts w:hint="eastAsia" w:ascii="楷体" w:hAnsi="楷体" w:eastAsia="楷体" w:cs="Times New Roman"/>
          <w:color w:val="000000"/>
          <w:sz w:val="32"/>
          <w:szCs w:val="32"/>
          <w:highlight w:val="none"/>
        </w:rPr>
        <w:t>《会计信息化工作规范》及《会计软件基本功能和服务规范》</w:t>
      </w:r>
    </w:p>
    <w:p>
      <w:pPr>
        <w:topLinePunct/>
        <w:adjustRightInd w:val="0"/>
        <w:snapToGrid w:val="0"/>
        <w:spacing w:beforeLines="0" w:afterLines="0" w:line="560" w:lineRule="exact"/>
        <w:ind w:firstLine="640" w:firstLineChars="200"/>
        <w:rPr>
          <w:rFonts w:hint="default" w:ascii="仿宋" w:hAnsi="仿宋" w:eastAsia="仿宋" w:cs="Times New Roman"/>
          <w:color w:val="000000"/>
          <w:sz w:val="32"/>
          <w:szCs w:val="32"/>
          <w:highlight w:val="none"/>
          <w:lang w:val="en-US"/>
        </w:rPr>
      </w:pPr>
      <w:r>
        <w:rPr>
          <w:rFonts w:hint="eastAsia" w:ascii="仿宋" w:hAnsi="仿宋" w:eastAsia="仿宋" w:cs="Times New Roman"/>
          <w:color w:val="000000"/>
          <w:sz w:val="32"/>
          <w:szCs w:val="32"/>
          <w:highlight w:val="none"/>
        </w:rPr>
        <w:t>2024</w:t>
      </w:r>
      <w:r>
        <w:rPr>
          <w:rFonts w:hint="eastAsia" w:ascii="仿宋" w:hAnsi="仿宋" w:eastAsia="仿宋" w:cs="Times New Roman"/>
          <w:color w:val="000000"/>
          <w:sz w:val="32"/>
          <w:szCs w:val="32"/>
          <w:highlight w:val="none"/>
          <w:lang w:val="en-US" w:eastAsia="zh-CN"/>
        </w:rPr>
        <w:t>年8月6日，财政部发布《会计信息化工作规范》及《会计软件基本功能和服务规范》</w:t>
      </w:r>
      <w:r>
        <w:rPr>
          <w:rFonts w:hint="eastAsia" w:ascii="仿宋" w:hAnsi="仿宋" w:eastAsia="仿宋" w:cs="Times New Roman"/>
          <w:color w:val="000000"/>
          <w:sz w:val="32"/>
          <w:szCs w:val="32"/>
          <w:highlight w:val="none"/>
          <w:lang w:eastAsia="zh-CN"/>
        </w:rPr>
        <w:t>。两项规范的修订</w:t>
      </w:r>
      <w:r>
        <w:rPr>
          <w:rFonts w:hint="eastAsia" w:ascii="仿宋" w:hAnsi="仿宋" w:eastAsia="仿宋" w:cs="Times New Roman"/>
          <w:b w:val="0"/>
          <w:bCs w:val="0"/>
          <w:color w:val="000000"/>
          <w:sz w:val="32"/>
          <w:szCs w:val="32"/>
          <w:highlight w:val="none"/>
          <w:lang w:eastAsia="zh-CN"/>
        </w:rPr>
        <w:t>是</w:t>
      </w:r>
      <w:r>
        <w:rPr>
          <w:rFonts w:hint="eastAsia" w:ascii="仿宋" w:hAnsi="仿宋" w:eastAsia="仿宋" w:cs="Times New Roman"/>
          <w:color w:val="000000"/>
          <w:sz w:val="32"/>
          <w:szCs w:val="32"/>
          <w:highlight w:val="none"/>
          <w:lang w:eastAsia="zh-CN"/>
        </w:rPr>
        <w:t>贯彻落实新会计法的重要举措。</w:t>
      </w:r>
      <w:r>
        <w:rPr>
          <w:rFonts w:hint="eastAsia" w:ascii="仿宋" w:hAnsi="仿宋" w:eastAsia="仿宋" w:cs="Times New Roman"/>
          <w:b w:val="0"/>
          <w:bCs w:val="0"/>
          <w:color w:val="000000"/>
          <w:sz w:val="32"/>
          <w:szCs w:val="32"/>
          <w:highlight w:val="none"/>
          <w:lang w:eastAsia="zh-CN"/>
        </w:rPr>
        <w:t>《工作规范》主要修订内容包括：扩大了适用范围；系统规范了单位会计信息化建设的内容；明确了会计数据处理要求和电子会计资料的法律效力；强化了会计信息化安全；加强了会计信息化监督。《软件规范》主要修订内容包括：明确了会计信息化相关术语的概念；强化了会计软件及服务在新环境下的适应性；加强了会计软件及服务对会计数据的多维度保障；进一步强调会计软件服务的重要性。</w:t>
      </w:r>
    </w:p>
    <w:p>
      <w:pPr>
        <w:topLinePunct/>
        <w:adjustRightInd w:val="0"/>
        <w:snapToGrid w:val="0"/>
        <w:spacing w:beforeLines="0" w:afterLines="0" w:line="560" w:lineRule="exact"/>
        <w:ind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eastAsia="zh-CN"/>
        </w:rPr>
        <w:t>三</w:t>
      </w:r>
      <w:r>
        <w:rPr>
          <w:rFonts w:hint="eastAsia" w:ascii="楷体" w:hAnsi="楷体" w:eastAsia="楷体" w:cs="Times New Roman"/>
          <w:color w:val="000000"/>
          <w:sz w:val="32"/>
          <w:szCs w:val="32"/>
          <w:highlight w:val="none"/>
        </w:rPr>
        <w:t>）国际会计审计政策资讯</w:t>
      </w:r>
    </w:p>
    <w:p>
      <w:pPr>
        <w:pStyle w:val="14"/>
        <w:spacing w:beforeLines="0" w:afterLines="0"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1．</w:t>
      </w:r>
      <w:r>
        <w:rPr>
          <w:rFonts w:hint="eastAsia" w:ascii="楷体" w:hAnsi="楷体" w:eastAsia="楷体" w:cs="Times New Roman"/>
          <w:color w:val="000000"/>
          <w:sz w:val="32"/>
          <w:szCs w:val="32"/>
          <w:highlight w:val="none"/>
          <w:lang w:val="en-US"/>
        </w:rPr>
        <w:t>IASB发布金融工具减值实施后审议反馈意见公告</w:t>
      </w:r>
    </w:p>
    <w:p>
      <w:pPr>
        <w:topLinePunct/>
        <w:adjustRightInd w:val="0"/>
        <w:snapToGrid w:val="0"/>
        <w:spacing w:beforeLines="0" w:afterLines="0" w:line="560" w:lineRule="exact"/>
        <w:ind w:firstLine="640" w:firstLineChars="200"/>
        <w:rPr>
          <w:rFonts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2024年</w:t>
      </w:r>
      <w:r>
        <w:rPr>
          <w:rFonts w:hint="eastAsia"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月，国际会计准则理事会（IASB）发布金融工具减值实施后审议反馈意见公告。根据对实施后审议过程中反馈意见的分析，IASB认为</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《国际财务报告准则第9号</w:t>
      </w:r>
      <w:r>
        <w:rPr>
          <w:rFonts w:hint="eastAsia" w:ascii="仿宋" w:hAnsi="仿宋" w:eastAsia="仿宋" w:cs="Times New Roman"/>
          <w:color w:val="000000"/>
          <w:sz w:val="32"/>
          <w:szCs w:val="32"/>
          <w:highlight w:val="none"/>
          <w:lang w:val="en-US" w:eastAsia="zh-CN"/>
        </w:rPr>
        <w:t>——</w:t>
      </w:r>
      <w:r>
        <w:rPr>
          <w:rFonts w:hint="eastAsia" w:ascii="仿宋" w:hAnsi="仿宋" w:eastAsia="仿宋" w:cs="Times New Roman"/>
          <w:color w:val="000000"/>
          <w:sz w:val="32"/>
          <w:szCs w:val="32"/>
          <w:highlight w:val="none"/>
        </w:rPr>
        <w:t>金融工具减值要求》的执行情况与预期一致，财务报表使用者获得有用信息的收益并未明显低于预期，财务报表编制者和审计师应用金融工具减值要求的执行成本并未明显高于预期</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不需要对金融工具减值要求进行根本性修订，但是在某些方面需要进一步澄清并提供应用指南</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就信用风险的披露要求进行针对性地改进，以进一步提高财务信息的有用性</w:t>
      </w:r>
    </w:p>
    <w:p>
      <w:pPr>
        <w:pStyle w:val="14"/>
        <w:spacing w:beforeLines="0" w:afterLines="0"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2</w:t>
      </w:r>
      <w:r>
        <w:rPr>
          <w:rFonts w:hint="eastAsia" w:ascii="楷体" w:hAnsi="楷体" w:eastAsia="楷体" w:cs="Times New Roman"/>
          <w:color w:val="000000"/>
          <w:sz w:val="32"/>
          <w:szCs w:val="32"/>
          <w:highlight w:val="none"/>
        </w:rPr>
        <w:t>．IASB发布《转换为恶性通货膨胀经济下的列报货币（征求意见稿）》</w:t>
      </w:r>
    </w:p>
    <w:p>
      <w:pPr>
        <w:keepNext w:val="0"/>
        <w:keepLines w:val="0"/>
        <w:pageBreakBefore w:val="0"/>
        <w:kinsoku/>
        <w:wordWrap/>
        <w:overflowPunct/>
        <w:topLinePunct/>
        <w:bidi w:val="0"/>
        <w:spacing w:beforeLines="0" w:afterLines="0" w:line="560" w:lineRule="exact"/>
        <w:ind w:left="0" w:right="0" w:rightChars="0" w:firstLine="640" w:firstLineChars="200"/>
        <w:textAlignment w:val="center"/>
        <w:rPr>
          <w:rFonts w:hint="default"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rPr>
        <w:t>2024年</w:t>
      </w:r>
      <w:r>
        <w:rPr>
          <w:rFonts w:hint="eastAsia"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月</w:t>
      </w:r>
      <w:r>
        <w:rPr>
          <w:rFonts w:hint="eastAsia" w:ascii="仿宋" w:hAnsi="仿宋" w:eastAsia="仿宋" w:cs="Times New Roman"/>
          <w:color w:val="000000"/>
          <w:sz w:val="32"/>
          <w:szCs w:val="32"/>
          <w:highlight w:val="none"/>
          <w:lang w:val="en-US" w:eastAsia="zh-CN"/>
        </w:rPr>
        <w:t>25</w:t>
      </w:r>
      <w:r>
        <w:rPr>
          <w:rFonts w:hint="eastAsia" w:ascii="仿宋" w:hAnsi="仿宋" w:eastAsia="仿宋" w:cs="Times New Roman"/>
          <w:color w:val="000000"/>
          <w:sz w:val="32"/>
          <w:szCs w:val="32"/>
          <w:highlight w:val="none"/>
        </w:rPr>
        <w:t>日，IASB发布《转换为恶性通货膨胀经济下的列报货币（征求意见稿）》，拟对《国际会计准则第21号——汇率变动的影响》进行修订，旨在提升以恶性通货膨胀经济货币列报的财务报表信息一致性和有用性，减少与折算为恶性通货膨胀经济货币有关的会计实务多样性，提高不同企业之间以及不同国家和地区之间的财务报表可比性，并为受到此事项影响的企业制定简单且符合成本效益原则的会计处理要求。</w:t>
      </w:r>
    </w:p>
    <w:p>
      <w:pPr>
        <w:pStyle w:val="14"/>
        <w:spacing w:beforeLines="0" w:afterLines="0"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3</w:t>
      </w: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IASB</w:t>
      </w:r>
      <w:r>
        <w:rPr>
          <w:rFonts w:hint="eastAsia" w:ascii="楷体" w:hAnsi="楷体" w:eastAsia="楷体" w:cs="Times New Roman"/>
          <w:color w:val="000000"/>
          <w:sz w:val="32"/>
          <w:szCs w:val="32"/>
          <w:highlight w:val="none"/>
        </w:rPr>
        <w:t>发布《财务报表中的气候和其他不确定性（征求意见稿）》</w:t>
      </w:r>
    </w:p>
    <w:p>
      <w:pPr>
        <w:topLinePunct/>
        <w:adjustRightInd w:val="0"/>
        <w:snapToGrid w:val="0"/>
        <w:spacing w:beforeLines="0" w:afterLines="0" w:line="560" w:lineRule="exact"/>
        <w:ind w:firstLine="640" w:firstLineChars="200"/>
        <w:textAlignment w:val="auto"/>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2024年</w:t>
      </w:r>
      <w:r>
        <w:rPr>
          <w:rFonts w:hint="eastAsia"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月</w:t>
      </w:r>
      <w:r>
        <w:rPr>
          <w:rFonts w:hint="eastAsia" w:ascii="仿宋" w:hAnsi="仿宋" w:eastAsia="仿宋" w:cs="Times New Roman"/>
          <w:color w:val="000000"/>
          <w:sz w:val="32"/>
          <w:szCs w:val="32"/>
          <w:highlight w:val="none"/>
          <w:lang w:val="en-US" w:eastAsia="zh-CN"/>
        </w:rPr>
        <w:t>31</w:t>
      </w:r>
      <w:r>
        <w:rPr>
          <w:rFonts w:hint="eastAsia" w:ascii="仿宋" w:hAnsi="仿宋" w:eastAsia="仿宋" w:cs="Times New Roman"/>
          <w:color w:val="000000"/>
          <w:sz w:val="32"/>
          <w:szCs w:val="32"/>
          <w:highlight w:val="none"/>
        </w:rPr>
        <w:t>日，IASB发布了《财务报表中的气候和其他不确定性（征求意见稿）》</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拟通过8个示例说明企业在财务报表中报告气候和其他不确定性影响时应当如何应用国际财务报告会计准则。8个示例聚焦于重要性判断、假设的披露、估计的不确定性、分解信息等方面。这些示例中体现的原则和要求既适用于与气候相关的不确定性，也适用于经济、监管、科技、社会以及环境等方面的其他不确定性。</w:t>
      </w:r>
    </w:p>
    <w:p>
      <w:pPr>
        <w:pStyle w:val="14"/>
        <w:spacing w:beforeLines="0" w:afterLines="0"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4</w:t>
      </w:r>
      <w:r>
        <w:rPr>
          <w:rFonts w:hint="eastAsia" w:ascii="楷体" w:hAnsi="楷体" w:eastAsia="楷体" w:cs="Times New Roman"/>
          <w:color w:val="000000"/>
          <w:sz w:val="32"/>
          <w:szCs w:val="32"/>
          <w:highlight w:val="none"/>
        </w:rPr>
        <w:t>．IASB正式启动现金流量表</w:t>
      </w:r>
      <w:r>
        <w:rPr>
          <w:rFonts w:hint="eastAsia" w:ascii="楷体" w:hAnsi="楷体" w:eastAsia="楷体" w:cs="Times New Roman"/>
          <w:color w:val="000000"/>
          <w:sz w:val="32"/>
          <w:szCs w:val="32"/>
          <w:highlight w:val="none"/>
          <w:lang w:eastAsia="zh-CN"/>
        </w:rPr>
        <w:t>研究</w:t>
      </w:r>
      <w:r>
        <w:rPr>
          <w:rFonts w:hint="eastAsia" w:ascii="楷体" w:hAnsi="楷体" w:eastAsia="楷体" w:cs="Times New Roman"/>
          <w:color w:val="000000"/>
          <w:sz w:val="32"/>
          <w:szCs w:val="32"/>
          <w:highlight w:val="none"/>
        </w:rPr>
        <w:t>项目</w:t>
      </w:r>
    </w:p>
    <w:p>
      <w:pPr>
        <w:topLinePunct/>
        <w:adjustRightInd w:val="0"/>
        <w:snapToGrid w:val="0"/>
        <w:spacing w:beforeLines="0" w:afterLines="0" w:line="560" w:lineRule="exact"/>
        <w:ind w:firstLine="640" w:firstLineChars="200"/>
        <w:outlineLvl w:val="9"/>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rPr>
        <w:t>2024年9月16日，IASB宣布正式启动“现金流量表和相关事项”研究项目，以审查和改进《国际会计准则第7号——现金流量表》等相关准则规定。该项目是</w:t>
      </w:r>
      <w:r>
        <w:rPr>
          <w:rFonts w:hint="eastAsia" w:ascii="仿宋" w:hAnsi="仿宋" w:eastAsia="仿宋" w:cs="Times New Roman"/>
          <w:color w:val="000000"/>
          <w:sz w:val="32"/>
          <w:szCs w:val="32"/>
          <w:highlight w:val="none"/>
          <w:lang w:val="en-US" w:eastAsia="zh-CN"/>
        </w:rPr>
        <w:t>IASB</w:t>
      </w:r>
      <w:r>
        <w:rPr>
          <w:rFonts w:hint="eastAsia" w:ascii="仿宋" w:hAnsi="仿宋" w:eastAsia="仿宋" w:cs="Times New Roman"/>
          <w:color w:val="000000"/>
          <w:sz w:val="32"/>
          <w:szCs w:val="32"/>
          <w:highlight w:val="none"/>
        </w:rPr>
        <w:t>对其第三次议程咨询项目反馈意见所做出的回应，当时该项目</w:t>
      </w:r>
      <w:r>
        <w:rPr>
          <w:rFonts w:hint="eastAsia" w:ascii="仿宋" w:hAnsi="仿宋" w:eastAsia="仿宋" w:cs="Times New Roman"/>
          <w:color w:val="000000"/>
          <w:sz w:val="32"/>
          <w:szCs w:val="32"/>
          <w:highlight w:val="none"/>
          <w:lang w:eastAsia="zh-CN"/>
        </w:rPr>
        <w:t>被</w:t>
      </w:r>
      <w:r>
        <w:rPr>
          <w:rFonts w:hint="eastAsia" w:ascii="仿宋" w:hAnsi="仿宋" w:eastAsia="仿宋" w:cs="Times New Roman"/>
          <w:color w:val="000000"/>
          <w:sz w:val="32"/>
          <w:szCs w:val="32"/>
          <w:highlight w:val="none"/>
        </w:rPr>
        <w:t>确定为高度优先事项。利益相关方（特别是投资者）认为，</w:t>
      </w:r>
      <w:r>
        <w:rPr>
          <w:rFonts w:hint="eastAsia" w:ascii="仿宋" w:hAnsi="仿宋" w:eastAsia="仿宋" w:cs="Times New Roman"/>
          <w:color w:val="000000"/>
          <w:sz w:val="32"/>
          <w:szCs w:val="32"/>
          <w:highlight w:val="none"/>
          <w:lang w:val="en-US" w:eastAsia="zh-CN"/>
        </w:rPr>
        <w:t>IASB</w:t>
      </w:r>
      <w:r>
        <w:rPr>
          <w:rFonts w:hint="eastAsia" w:ascii="仿宋" w:hAnsi="仿宋" w:eastAsia="仿宋" w:cs="Times New Roman"/>
          <w:color w:val="000000"/>
          <w:sz w:val="32"/>
          <w:szCs w:val="32"/>
          <w:highlight w:val="none"/>
        </w:rPr>
        <w:t>应当改进《国际会计准则第7号——现金流量表》以向财务报表使用者提供更有用的信息。</w:t>
      </w:r>
      <w:r>
        <w:rPr>
          <w:rFonts w:hint="eastAsia" w:ascii="仿宋" w:hAnsi="仿宋" w:eastAsia="仿宋" w:cs="Times New Roman"/>
          <w:color w:val="000000"/>
          <w:sz w:val="32"/>
          <w:szCs w:val="32"/>
          <w:highlight w:val="none"/>
          <w:lang w:val="en-US" w:eastAsia="zh-CN"/>
        </w:rPr>
        <w:t>IASB</w:t>
      </w:r>
      <w:r>
        <w:rPr>
          <w:rFonts w:hint="eastAsia" w:ascii="仿宋" w:hAnsi="仿宋" w:eastAsia="仿宋" w:cs="Times New Roman"/>
          <w:color w:val="000000"/>
          <w:sz w:val="32"/>
          <w:szCs w:val="32"/>
          <w:highlight w:val="none"/>
        </w:rPr>
        <w:t>将开展初步研究，包括与利益相关方举行会议和审查现有研究，收集证据以了解当前财务报告缺陷的性质和程度，以及制定新要求可能带来的益处。</w:t>
      </w:r>
      <w:r>
        <w:rPr>
          <w:rFonts w:hint="eastAsia" w:ascii="仿宋" w:hAnsi="仿宋" w:eastAsia="仿宋" w:cs="Times New Roman"/>
          <w:color w:val="000000"/>
          <w:sz w:val="32"/>
          <w:szCs w:val="32"/>
          <w:highlight w:val="none"/>
          <w:lang w:val="en-US" w:eastAsia="zh-CN"/>
        </w:rPr>
        <w:t>IASB</w:t>
      </w:r>
      <w:r>
        <w:rPr>
          <w:rFonts w:hint="eastAsia" w:ascii="仿宋" w:hAnsi="仿宋" w:eastAsia="仿宋" w:cs="Times New Roman"/>
          <w:color w:val="000000"/>
          <w:sz w:val="32"/>
          <w:szCs w:val="32"/>
          <w:highlight w:val="none"/>
        </w:rPr>
        <w:t>计划在2025年第一季度讨论初步研究成果，并确定该项目的下一步计划。</w:t>
      </w:r>
    </w:p>
    <w:p>
      <w:pPr>
        <w:topLinePunct/>
        <w:adjustRightInd w:val="0"/>
        <w:snapToGrid w:val="0"/>
        <w:spacing w:beforeLines="0" w:afterLines="0" w:line="560" w:lineRule="exact"/>
        <w:ind w:firstLine="640"/>
        <w:rPr>
          <w:rFonts w:hint="eastAsia" w:ascii="仿宋" w:hAnsi="仿宋" w:eastAsia="仿宋" w:cs="Times New Roman"/>
          <w:color w:val="000000"/>
          <w:sz w:val="32"/>
          <w:szCs w:val="32"/>
          <w:highlight w:val="none"/>
        </w:rPr>
        <w:sectPr>
          <w:footerReference r:id="rId9" w:type="default"/>
          <w:headerReference r:id="rId8" w:type="even"/>
          <w:footerReference r:id="rId10" w:type="even"/>
          <w:pgSz w:w="11906" w:h="16157"/>
          <w:pgMar w:top="1440" w:right="1800" w:bottom="1440" w:left="1800" w:header="850" w:footer="1077" w:gutter="0"/>
          <w:pgNumType w:start="1"/>
          <w:cols w:space="0" w:num="1"/>
          <w:docGrid w:type="lines" w:linePitch="316" w:charSpace="0"/>
        </w:sectPr>
      </w:pPr>
    </w:p>
    <w:p>
      <w:pPr>
        <w:topLinePunct/>
        <w:spacing w:beforeLines="0" w:afterLines="0" w:line="560" w:lineRule="exact"/>
        <w:textAlignment w:val="center"/>
        <w:rPr>
          <w:rFonts w:ascii="Times New Roman" w:hAnsi="Times New Roman" w:eastAsia="楷体" w:cs="Times New Roman"/>
          <w:color w:val="000000"/>
          <w:sz w:val="32"/>
          <w:szCs w:val="32"/>
          <w:highlight w:val="none"/>
        </w:rPr>
      </w:pPr>
      <w:r>
        <w:rPr>
          <w:rFonts w:ascii="Times New Roman" w:hAnsi="Times New Roman" w:eastAsia="楷体" w:cs="Times New Roman"/>
          <w:color w:val="000000"/>
          <w:sz w:val="32"/>
          <w:szCs w:val="32"/>
          <w:highlight w:val="none"/>
        </w:rPr>
        <w:drawing>
          <wp:anchor distT="0" distB="0" distL="114300" distR="114300" simplePos="0" relativeHeight="251669504" behindDoc="0" locked="0" layoutInCell="1" allowOverlap="1">
            <wp:simplePos x="0" y="0"/>
            <wp:positionH relativeFrom="column">
              <wp:posOffset>-307975</wp:posOffset>
            </wp:positionH>
            <wp:positionV relativeFrom="paragraph">
              <wp:posOffset>6337300</wp:posOffset>
            </wp:positionV>
            <wp:extent cx="904875" cy="904875"/>
            <wp:effectExtent l="0" t="0" r="9525" b="9525"/>
            <wp:wrapNone/>
            <wp:docPr id="29" name="图片 29" descr="d:\Users\panzhang\Desktop\a876237d3f49d38805ca4f787b663ec.pnga876237d3f49d38805ca4f787b66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Users\panzhang\Desktop\a876237d3f49d38805ca4f787b663ec.pnga876237d3f49d38805ca4f787b663ec"/>
                    <pic:cNvPicPr>
                      <a:picLocks noChangeAspect="1"/>
                    </pic:cNvPicPr>
                  </pic:nvPicPr>
                  <pic:blipFill>
                    <a:blip r:embed="rId17">
                      <a:duotone>
                        <a:schemeClr val="accent1">
                          <a:shade val="45000"/>
                          <a:satMod val="135000"/>
                        </a:schemeClr>
                        <a:prstClr val="white"/>
                      </a:duotone>
                    </a:blip>
                    <a:srcRect/>
                    <a:stretch>
                      <a:fillRect/>
                    </a:stretch>
                  </pic:blipFill>
                  <pic:spPr>
                    <a:xfrm>
                      <a:off x="0" y="0"/>
                      <a:ext cx="904875" cy="904875"/>
                    </a:xfrm>
                    <a:prstGeom prst="rect">
                      <a:avLst/>
                    </a:prstGeom>
                    <a:ln>
                      <a:noFill/>
                    </a:ln>
                  </pic:spPr>
                </pic:pic>
              </a:graphicData>
            </a:graphic>
          </wp:anchor>
        </w:drawing>
      </w:r>
      <w:r>
        <w:rPr>
          <w:rFonts w:ascii="Times New Roman" w:hAnsi="Times New Roman" w:eastAsia="楷体" w:cs="Times New Roman"/>
          <w:color w:val="000000"/>
          <w:sz w:val="32"/>
          <w:szCs w:val="32"/>
          <w:highlight w:val="none"/>
        </w:rPr>
        <mc:AlternateContent>
          <mc:Choice Requires="wps">
            <w:drawing>
              <wp:anchor distT="0" distB="0" distL="114300" distR="114300" simplePos="0" relativeHeight="251670528" behindDoc="0" locked="0" layoutInCell="1" allowOverlap="1">
                <wp:simplePos x="0" y="0"/>
                <wp:positionH relativeFrom="column">
                  <wp:posOffset>-1454785</wp:posOffset>
                </wp:positionH>
                <wp:positionV relativeFrom="paragraph">
                  <wp:posOffset>7363460</wp:posOffset>
                </wp:positionV>
                <wp:extent cx="3301365" cy="937895"/>
                <wp:effectExtent l="0" t="0" r="0" b="0"/>
                <wp:wrapNone/>
                <wp:docPr id="30" name="矩形 30"/>
                <wp:cNvGraphicFramePr/>
                <a:graphic xmlns:a="http://schemas.openxmlformats.org/drawingml/2006/main">
                  <a:graphicData uri="http://schemas.microsoft.com/office/word/2010/wordprocessingShape">
                    <wps:wsp>
                      <wps:cNvSpPr/>
                      <wps:spPr>
                        <a:xfrm>
                          <a:off x="0" y="0"/>
                          <a:ext cx="3301365" cy="937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560" w:lineRule="exact"/>
                              <w:jc w:val="center"/>
                              <w:rPr>
                                <w:rFonts w:ascii="黑体" w:hAnsi="黑体" w:eastAsia="黑体"/>
                                <w:sz w:val="28"/>
                                <w:szCs w:val="28"/>
                              </w:rPr>
                            </w:pPr>
                            <w:r>
                              <w:rPr>
                                <w:rFonts w:hint="eastAsia" w:ascii="黑体" w:hAnsi="黑体" w:eastAsia="黑体"/>
                                <w:sz w:val="28"/>
                                <w:szCs w:val="28"/>
                              </w:rPr>
                              <w:t>如有任何意见建议</w:t>
                            </w:r>
                          </w:p>
                          <w:p>
                            <w:pPr>
                              <w:spacing w:line="560" w:lineRule="exact"/>
                              <w:jc w:val="center"/>
                              <w:rPr>
                                <w:rFonts w:ascii="黑体" w:hAnsi="黑体" w:eastAsia="黑体"/>
                                <w:sz w:val="28"/>
                                <w:szCs w:val="28"/>
                              </w:rPr>
                            </w:pPr>
                            <w:r>
                              <w:rPr>
                                <w:rFonts w:hint="eastAsia" w:ascii="黑体" w:hAnsi="黑体" w:eastAsia="黑体"/>
                                <w:sz w:val="28"/>
                                <w:szCs w:val="28"/>
                              </w:rPr>
                              <w:t>欢迎扫码反馈</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55pt;margin-top:579.8pt;height:73.85pt;width:259.95pt;z-index:251670528;v-text-anchor:middle;mso-width-relative:page;mso-height-relative:page;" filled="f" stroked="f" coordsize="21600,21600" o:gfxdata="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G0G9NsAAAAOAQAADwAAAAAAAAABACAAAAAiAAAAZHJzL2Rvd25yZXYueG1sUEsBAhQA&#10;FAAAAAgAh07iQCvUflFhAgAArwQAAA4AAAAAAAAAAQAgAAAAKgEAAGRycy9lMm9Eb2MueG1sUEsF&#10;BgAAAAAGAAYAWQEAAP0FAAAAAA==&#10;">
                <v:fill on="f" focussize="0,0"/>
                <v:stroke on="f" weight="1pt" miterlimit="8" joinstyle="miter"/>
                <v:imagedata o:title=""/>
                <o:lock v:ext="edit" aspectratio="f"/>
                <v:textbox>
                  <w:txbxContent>
                    <w:p>
                      <w:pPr>
                        <w:spacing w:line="560" w:lineRule="exact"/>
                        <w:jc w:val="center"/>
                        <w:rPr>
                          <w:rFonts w:ascii="黑体" w:hAnsi="黑体" w:eastAsia="黑体"/>
                          <w:sz w:val="28"/>
                          <w:szCs w:val="28"/>
                        </w:rPr>
                      </w:pPr>
                      <w:r>
                        <w:rPr>
                          <w:rFonts w:hint="eastAsia" w:ascii="黑体" w:hAnsi="黑体" w:eastAsia="黑体"/>
                          <w:sz w:val="28"/>
                          <w:szCs w:val="28"/>
                        </w:rPr>
                        <w:t>如有任何意见建议</w:t>
                      </w:r>
                    </w:p>
                    <w:p>
                      <w:pPr>
                        <w:spacing w:line="560" w:lineRule="exact"/>
                        <w:jc w:val="center"/>
                        <w:rPr>
                          <w:rFonts w:ascii="黑体" w:hAnsi="黑体" w:eastAsia="黑体"/>
                          <w:sz w:val="28"/>
                          <w:szCs w:val="28"/>
                        </w:rPr>
                      </w:pPr>
                      <w:r>
                        <w:rPr>
                          <w:rFonts w:hint="eastAsia" w:ascii="黑体" w:hAnsi="黑体" w:eastAsia="黑体"/>
                          <w:sz w:val="28"/>
                          <w:szCs w:val="28"/>
                        </w:rPr>
                        <w:t>欢迎扫码反馈</w:t>
                      </w:r>
                    </w:p>
                    <w:p/>
                  </w:txbxContent>
                </v:textbox>
              </v:rect>
            </w:pict>
          </mc:Fallback>
        </mc:AlternateContent>
      </w:r>
      <w:r>
        <w:rPr>
          <w:rFonts w:ascii="Times New Roman" w:hAnsi="Times New Roman" w:eastAsia="楷体" w:cs="Times New Roman"/>
          <w:color w:val="000000"/>
          <w:sz w:val="32"/>
          <w:szCs w:val="32"/>
          <w:highlight w:val="none"/>
        </w:rPr>
        <w:drawing>
          <wp:anchor distT="0" distB="0" distL="114300" distR="114300" simplePos="0" relativeHeight="251668480" behindDoc="0" locked="0" layoutInCell="1" allowOverlap="1">
            <wp:simplePos x="0" y="0"/>
            <wp:positionH relativeFrom="column">
              <wp:posOffset>-1302385</wp:posOffset>
            </wp:positionH>
            <wp:positionV relativeFrom="paragraph">
              <wp:posOffset>-946150</wp:posOffset>
            </wp:positionV>
            <wp:extent cx="7772400" cy="10462260"/>
            <wp:effectExtent l="0" t="0" r="0" b="0"/>
            <wp:wrapNone/>
            <wp:docPr id="16" name="图片 16" descr="D:\黄\2021\深交所\2022.3.10 会计监管动态\蓝色商务宣传画册封面.jpg蓝色商务宣传画册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黄\2021\深交所\2022.3.10 会计监管动态\蓝色商务宣传画册封面.jpg蓝色商务宣传画册封面"/>
                    <pic:cNvPicPr>
                      <a:picLocks noChangeAspect="1"/>
                    </pic:cNvPicPr>
                  </pic:nvPicPr>
                  <pic:blipFill>
                    <a:blip r:embed="rId18"/>
                    <a:srcRect r="50239"/>
                    <a:stretch>
                      <a:fillRect/>
                    </a:stretch>
                  </pic:blipFill>
                  <pic:spPr>
                    <a:xfrm>
                      <a:off x="0" y="0"/>
                      <a:ext cx="7772400" cy="10462068"/>
                    </a:xfrm>
                    <a:prstGeom prst="rect">
                      <a:avLst/>
                    </a:prstGeom>
                  </pic:spPr>
                </pic:pic>
              </a:graphicData>
            </a:graphic>
          </wp:anchor>
        </w:drawing>
      </w:r>
    </w:p>
    <w:sectPr>
      <w:headerReference r:id="rId11" w:type="default"/>
      <w:pgSz w:w="11906" w:h="16157"/>
      <w:pgMar w:top="1440" w:right="1800" w:bottom="1440" w:left="1800" w:header="850" w:footer="1077" w:gutter="0"/>
      <w:pgNumType w:start="1"/>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Noto Sans Mono CJK JP Bold">
    <w:altName w:val="Arial"/>
    <w:panose1 w:val="00000000000000000000"/>
    <w:charset w:val="00"/>
    <w:family w:val="swiss"/>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方正黑体简体">
    <w:panose1 w:val="02000000000000000000"/>
    <w:charset w:val="86"/>
    <w:family w:val="auto"/>
    <w:pitch w:val="default"/>
    <w:sig w:usb0="00000001" w:usb1="0800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8"/>
                              <w:szCs w:val="28"/>
                            </w:rPr>
                          </w:pPr>
                          <w:r>
                            <w:rPr>
                              <w:rFonts w:hint="eastAsia"/>
                              <w:sz w:val="28"/>
                              <w:szCs w:val="28"/>
                            </w:rPr>
                            <w:t xml:space="preserve">— </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r>
                            <w:rPr>
                              <w:rFonts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9"/>
                      <w:rPr>
                        <w:sz w:val="28"/>
                        <w:szCs w:val="28"/>
                      </w:rPr>
                    </w:pPr>
                    <w:r>
                      <w:rPr>
                        <w:rFonts w:hint="eastAsia"/>
                        <w:sz w:val="28"/>
                        <w:szCs w:val="28"/>
                      </w:rPr>
                      <w:t xml:space="preserve">— </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r>
                      <w:rPr>
                        <w:rFonts w:hint="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posOffset>4652010</wp:posOffset>
              </wp:positionH>
              <wp:positionV relativeFrom="paragraph">
                <wp:posOffset>15240</wp:posOffset>
              </wp:positionV>
              <wp:extent cx="1828800" cy="1828800"/>
              <wp:effectExtent l="0" t="0" r="0" b="10795"/>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66.3pt;margin-top:1.2pt;height:144pt;width:144pt;mso-position-horizontal-relative:margin;mso-wrap-style:none;z-index:251660288;mso-width-relative:page;mso-height-relative:page;" filled="f" stroked="f" coordsize="21600,21600" o:gfxdata="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vAM7NYAAAAKAQAADwAAAAAAAAABACAAAAAiAAAAZHJzL2Rvd25yZXYueG1sUEsBAhQAFAAA&#10;AAgAh07iQMrd1wwqAgAAVwQAAA4AAAAAAAAAAQAgAAAAJQEAAGRycy9lMm9Eb2MueG1sUEsFBgAA&#10;AAAGAAYAWQEAAMEFAAAAAA==&#10;">
              <v:fill on="f" focussize="0,0"/>
              <v:stroke on="f" weight="0.5pt"/>
              <v:imagedata o:title=""/>
              <o:lock v:ext="edit" aspectratio="f"/>
              <v:textbox inset="0mm,0mm,0mm,0mm" style="mso-fit-shape-to-text:t;">
                <w:txbxContent>
                  <w:p>
                    <w:pPr>
                      <w:pStyle w:val="9"/>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5408" behindDoc="0" locked="0" layoutInCell="1" allowOverlap="1">
              <wp:simplePos x="0" y="0"/>
              <wp:positionH relativeFrom="margin">
                <wp:posOffset>11430</wp:posOffset>
              </wp:positionH>
              <wp:positionV relativeFrom="paragraph">
                <wp:posOffset>0</wp:posOffset>
              </wp:positionV>
              <wp:extent cx="1828800" cy="1828800"/>
              <wp:effectExtent l="0" t="0" r="0" b="10795"/>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9pt;margin-top:0pt;height:144pt;width:144pt;mso-position-horizontal-relative:margin;mso-wrap-style:none;z-index:251665408;mso-width-relative:page;mso-height-relative:page;" filled="f" stroked="f" coordsize="21600,21600" o:gfxdata="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vBCZ0QAAAAYBAAAPAAAAAAAAAAEAIAAAACIAAABkcnMvZG93bnJldi54bWxQSwECFAAUAAAACACH&#10;TuJAYpCETCsCAABXBAAADgAAAAAAAAABACAAAAAgAQAAZHJzL2Uyb0RvYy54bWxQSwUGAAAAAAYA&#10;BgBZAQAAvQUAAAAA&#10;">
              <v:fill on="f" focussize="0,0"/>
              <v:stroke on="f" weight="0.5pt"/>
              <v:imagedata o:title=""/>
              <o:lock v:ext="edit" aspectratio="f"/>
              <v:textbox inset="0mm,0mm,0mm,0mm" style="mso-fit-shape-to-text:t;">
                <w:txbxContent>
                  <w:p>
                    <w:pPr>
                      <w:pStyle w:val="9"/>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ascii="黑体" w:hAnsi="黑体" w:eastAsia="黑体" w:cs="黑体"/>
        <w:sz w:val="28"/>
        <w:szCs w:val="44"/>
      </w:rPr>
    </w:pPr>
    <w:r>
      <w:rPr>
        <w:rFonts w:hint="eastAsia" w:ascii="黑体" w:hAnsi="黑体" w:eastAsia="黑体" w:cs="黑体"/>
        <w:sz w:val="24"/>
        <w:szCs w:val="44"/>
      </w:rPr>
      <w:t>深圳证券交易所会计监管动态  202</w:t>
    </w:r>
    <w:r>
      <w:rPr>
        <w:rFonts w:hint="eastAsia" w:ascii="黑体" w:hAnsi="黑体" w:eastAsia="黑体" w:cs="黑体"/>
        <w:sz w:val="24"/>
        <w:szCs w:val="44"/>
        <w:lang w:val="en-US" w:eastAsia="zh-CN"/>
      </w:rPr>
      <w:t>4</w:t>
    </w:r>
    <w:r>
      <w:rPr>
        <w:rFonts w:hint="eastAsia" w:ascii="黑体" w:hAnsi="黑体" w:eastAsia="黑体" w:cs="黑体"/>
        <w:sz w:val="24"/>
        <w:szCs w:val="44"/>
      </w:rPr>
      <w:t>年第</w:t>
    </w:r>
    <w:r>
      <w:rPr>
        <w:rFonts w:hint="eastAsia" w:ascii="黑体" w:hAnsi="黑体" w:eastAsia="黑体" w:cs="黑体"/>
        <w:sz w:val="24"/>
        <w:szCs w:val="44"/>
        <w:lang w:val="en-US" w:eastAsia="zh-CN"/>
      </w:rPr>
      <w:t>3</w:t>
    </w:r>
    <w:r>
      <w:rPr>
        <w:rFonts w:hint="eastAsia" w:ascii="黑体" w:hAnsi="黑体" w:eastAsia="黑体" w:cs="黑体"/>
        <w:sz w:val="24"/>
        <w:szCs w:val="44"/>
      </w:rPr>
      <w:t>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mc:AlternateContent>
        <mc:Choice Requires="wpg">
          <w:drawing>
            <wp:anchor distT="0" distB="0" distL="114300" distR="114300" simplePos="0" relativeHeight="251663360" behindDoc="1" locked="0" layoutInCell="1" allowOverlap="1">
              <wp:simplePos x="0" y="0"/>
              <wp:positionH relativeFrom="page">
                <wp:posOffset>6355080</wp:posOffset>
              </wp:positionH>
              <wp:positionV relativeFrom="page">
                <wp:posOffset>391795</wp:posOffset>
              </wp:positionV>
              <wp:extent cx="304800" cy="346075"/>
              <wp:effectExtent l="0" t="0" r="0" b="0"/>
              <wp:wrapNone/>
              <wp:docPr id="20" name="组合 20"/>
              <wp:cNvGraphicFramePr/>
              <a:graphic xmlns:a="http://schemas.openxmlformats.org/drawingml/2006/main">
                <a:graphicData uri="http://schemas.microsoft.com/office/word/2010/wordprocessingGroup">
                  <wpg:wgp>
                    <wpg:cNvGrpSpPr/>
                    <wpg:grpSpPr>
                      <a:xfrm>
                        <a:off x="0" y="0"/>
                        <a:ext cx="304800" cy="346075"/>
                        <a:chOff x="10824" y="1020"/>
                        <a:chExt cx="281" cy="377"/>
                      </a:xfrm>
                    </wpg:grpSpPr>
                    <pic:pic xmlns:pic="http://schemas.openxmlformats.org/drawingml/2006/picture">
                      <pic:nvPicPr>
                        <pic:cNvPr id="2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10842" y="1020"/>
                          <a:ext cx="129" cy="268"/>
                        </a:xfrm>
                        <a:prstGeom prst="rect">
                          <a:avLst/>
                        </a:prstGeom>
                        <a:noFill/>
                        <a:ln>
                          <a:noFill/>
                        </a:ln>
                      </pic:spPr>
                    </pic:pic>
                    <pic:pic xmlns:pic="http://schemas.openxmlformats.org/drawingml/2006/picture">
                      <pic:nvPicPr>
                        <pic:cNvPr id="22"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10824" y="1020"/>
                          <a:ext cx="142" cy="268"/>
                        </a:xfrm>
                        <a:prstGeom prst="rect">
                          <a:avLst/>
                        </a:prstGeom>
                        <a:noFill/>
                        <a:ln>
                          <a:noFill/>
                        </a:ln>
                      </pic:spPr>
                    </pic:pic>
                    <pic:pic xmlns:pic="http://schemas.openxmlformats.org/drawingml/2006/picture">
                      <pic:nvPicPr>
                        <pic:cNvPr id="23"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10844" y="1058"/>
                          <a:ext cx="261" cy="339"/>
                        </a:xfrm>
                        <a:prstGeom prst="rect">
                          <a:avLst/>
                        </a:prstGeom>
                        <a:noFill/>
                        <a:ln>
                          <a:noFill/>
                        </a:ln>
                      </pic:spPr>
                    </pic:pic>
                    <pic:pic xmlns:pic="http://schemas.openxmlformats.org/drawingml/2006/picture">
                      <pic:nvPicPr>
                        <pic:cNvPr id="24"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10844" y="1177"/>
                          <a:ext cx="129" cy="220"/>
                        </a:xfrm>
                        <a:prstGeom prst="rect">
                          <a:avLst/>
                        </a:prstGeom>
                        <a:noFill/>
                        <a:ln>
                          <a:noFill/>
                        </a:ln>
                      </pic:spPr>
                    </pic:pic>
                  </wpg:wgp>
                </a:graphicData>
              </a:graphic>
            </wp:anchor>
          </w:drawing>
        </mc:Choice>
        <mc:Fallback>
          <w:pict>
            <v:group id="_x0000_s1026" o:spid="_x0000_s1026" o:spt="203" style="position:absolute;left:0pt;margin-left:500.4pt;margin-top:30.85pt;height:27.25pt;width:24pt;mso-position-horizontal-relative:page;mso-position-vertical-relative:page;z-index:-251653120;mso-width-relative:page;mso-height-relative:page;" coordorigin="10824,1020" coordsize="281,377" o:gfxdata="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">
              <o:lock v:ext="edit" aspectratio="f"/>
              <v:shape id="Picture 4" o:spid="_x0000_s1026" o:spt="75" type="#_x0000_t75" style="position:absolute;left:10842;top:1020;height:268;width:129;" filled="f" o:preferrelative="t" stroked="f" coordsize="21600,21600" o:gfxdata="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B8u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Picture 5" o:spid="_x0000_s1026" o:spt="75" type="#_x0000_t75" style="position:absolute;left:10824;top:1020;height:268;width:142;" filled="f" o:preferrelative="t" stroked="f" coordsize="21600,21600" o:gfxdata="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uxVr4A&#10;AADbAAAADwAAAAAAAAABACAAAAAiAAAAZHJzL2Rvd25yZXYueG1sUEsBAhQAFAAAAAgAh07iQDMv&#10;BZ47AAAAOQAAABAAAAAAAAAAAQAgAAAADQEAAGRycy9zaGFwZXhtbC54bWxQSwUGAAAAAAYABgBb&#10;AQAAtwMAAAAA&#10;">
                <v:fill on="f" focussize="0,0"/>
                <v:stroke on="f"/>
                <v:imagedata r:id="rId2" o:title=""/>
                <o:lock v:ext="edit" aspectratio="t"/>
              </v:shape>
              <v:shape id="Picture 6" o:spid="_x0000_s1026" o:spt="75" type="#_x0000_t75" style="position:absolute;left:10844;top:1058;height:339;width:261;" filled="f" o:preferrelative="t" stroked="f" coordsize="21600,21600" o:gfxdata="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x0X74A&#10;AADbAAAADwAAAAAAAAABACAAAAAiAAAAZHJzL2Rvd25yZXYueG1sUEsBAhQAFAAAAAgAh07iQDMv&#10;BZ47AAAAOQAAABAAAAAAAAAAAQAgAAAADQEAAGRycy9zaGFwZXhtbC54bWxQSwUGAAAAAAYABgBb&#10;AQAAtwMAAAAA&#10;">
                <v:fill on="f" focussize="0,0"/>
                <v:stroke on="f"/>
                <v:imagedata r:id="rId3" o:title=""/>
                <o:lock v:ext="edit" aspectratio="t"/>
              </v:shape>
              <v:shape id="Picture 7" o:spid="_x0000_s1026" o:spt="75" type="#_x0000_t75" style="position:absolute;left:10844;top:1177;height:220;width:129;" filled="f" o:preferrelative="t" stroked="f" coordsize="21600,21600" o:gfxdata="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ZTlb4A&#10;AADbAAAADwAAAAAAAAABACAAAAAiAAAAZHJzL2Rvd25yZXYueG1sUEsBAhQAFAAAAAgAh07iQDMv&#10;BZ47AAAAOQAAABAAAAAAAAAAAQAgAAAADQEAAGRycy9zaGFwZXhtbC54bWxQSwUGAAAAAAYABgBb&#10;AQAAtwMAAAAA&#10;">
                <v:fill on="f" focussize="0,0"/>
                <v:stroke on="f"/>
                <v:imagedata r:id="rId4" o:title=""/>
                <o:lock v:ext="edit" aspectratio="t"/>
              </v:shape>
            </v:group>
          </w:pict>
        </mc:Fallback>
      </mc:AlternateContent>
    </w:r>
    <w:r>
      <w:drawing>
        <wp:anchor distT="0" distB="0" distL="0" distR="0" simplePos="0" relativeHeight="251662336" behindDoc="1" locked="0" layoutInCell="1" allowOverlap="1">
          <wp:simplePos x="0" y="0"/>
          <wp:positionH relativeFrom="page">
            <wp:posOffset>5482590</wp:posOffset>
          </wp:positionH>
          <wp:positionV relativeFrom="page">
            <wp:posOffset>556260</wp:posOffset>
          </wp:positionV>
          <wp:extent cx="822960" cy="311150"/>
          <wp:effectExtent l="0" t="0" r="0" b="0"/>
          <wp:wrapNone/>
          <wp:docPr id="12"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0.png"/>
                  <pic:cNvPicPr>
                    <a:picLocks noChangeAspect="1"/>
                  </pic:cNvPicPr>
                </pic:nvPicPr>
                <pic:blipFill>
                  <a:blip r:embed="rId5" cstate="print"/>
                  <a:stretch>
                    <a:fillRect/>
                  </a:stretch>
                </pic:blipFill>
                <pic:spPr>
                  <a:xfrm>
                    <a:off x="0" y="0"/>
                    <a:ext cx="822960" cy="31115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ascii="黑体" w:hAnsi="黑体" w:eastAsia="黑体" w:cs="黑体"/>
        <w:sz w:val="28"/>
        <w:szCs w:val="4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trackRevisions w:val="1"/>
  <w:documentProtection w:enforcement="0"/>
  <w:defaultTabStop w:val="420"/>
  <w:evenAndOddHeaders w:val="1"/>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873B19"/>
    <w:rsid w:val="00000195"/>
    <w:rsid w:val="000010E4"/>
    <w:rsid w:val="000015DC"/>
    <w:rsid w:val="000031B8"/>
    <w:rsid w:val="00006751"/>
    <w:rsid w:val="00007289"/>
    <w:rsid w:val="000077B4"/>
    <w:rsid w:val="00012619"/>
    <w:rsid w:val="000139BA"/>
    <w:rsid w:val="00015143"/>
    <w:rsid w:val="000155B7"/>
    <w:rsid w:val="00020DE7"/>
    <w:rsid w:val="0002533D"/>
    <w:rsid w:val="000257B9"/>
    <w:rsid w:val="00026112"/>
    <w:rsid w:val="00026E41"/>
    <w:rsid w:val="000344CF"/>
    <w:rsid w:val="00034D49"/>
    <w:rsid w:val="000364FA"/>
    <w:rsid w:val="000371F3"/>
    <w:rsid w:val="00037667"/>
    <w:rsid w:val="00040694"/>
    <w:rsid w:val="00047622"/>
    <w:rsid w:val="00047807"/>
    <w:rsid w:val="00047A07"/>
    <w:rsid w:val="0005151C"/>
    <w:rsid w:val="00052E31"/>
    <w:rsid w:val="00054E93"/>
    <w:rsid w:val="000578D4"/>
    <w:rsid w:val="00062007"/>
    <w:rsid w:val="00062244"/>
    <w:rsid w:val="00066D35"/>
    <w:rsid w:val="00066E81"/>
    <w:rsid w:val="00067EC6"/>
    <w:rsid w:val="00071662"/>
    <w:rsid w:val="00072DDA"/>
    <w:rsid w:val="00073124"/>
    <w:rsid w:val="00075A68"/>
    <w:rsid w:val="000764DE"/>
    <w:rsid w:val="00077603"/>
    <w:rsid w:val="000804E3"/>
    <w:rsid w:val="00080977"/>
    <w:rsid w:val="00080EC7"/>
    <w:rsid w:val="00083C23"/>
    <w:rsid w:val="00090E6F"/>
    <w:rsid w:val="00094644"/>
    <w:rsid w:val="000949DE"/>
    <w:rsid w:val="00096211"/>
    <w:rsid w:val="0009649A"/>
    <w:rsid w:val="000971FB"/>
    <w:rsid w:val="000A0533"/>
    <w:rsid w:val="000A089B"/>
    <w:rsid w:val="000A0ECF"/>
    <w:rsid w:val="000A36A1"/>
    <w:rsid w:val="000A4D11"/>
    <w:rsid w:val="000A61D6"/>
    <w:rsid w:val="000A64D9"/>
    <w:rsid w:val="000A7439"/>
    <w:rsid w:val="000B03E6"/>
    <w:rsid w:val="000B08B1"/>
    <w:rsid w:val="000B13BB"/>
    <w:rsid w:val="000B207A"/>
    <w:rsid w:val="000B2F72"/>
    <w:rsid w:val="000B4698"/>
    <w:rsid w:val="000B770F"/>
    <w:rsid w:val="000C02B5"/>
    <w:rsid w:val="000C2025"/>
    <w:rsid w:val="000C214A"/>
    <w:rsid w:val="000C37FB"/>
    <w:rsid w:val="000C618A"/>
    <w:rsid w:val="000E0EA3"/>
    <w:rsid w:val="000E3F6A"/>
    <w:rsid w:val="000E4F70"/>
    <w:rsid w:val="000E6806"/>
    <w:rsid w:val="000E7E2D"/>
    <w:rsid w:val="000F5378"/>
    <w:rsid w:val="000F670B"/>
    <w:rsid w:val="000F724C"/>
    <w:rsid w:val="000F733C"/>
    <w:rsid w:val="00100AC0"/>
    <w:rsid w:val="001049A0"/>
    <w:rsid w:val="001142F4"/>
    <w:rsid w:val="00117E42"/>
    <w:rsid w:val="00117F36"/>
    <w:rsid w:val="00121056"/>
    <w:rsid w:val="00121F87"/>
    <w:rsid w:val="001250D8"/>
    <w:rsid w:val="00127A67"/>
    <w:rsid w:val="001310E7"/>
    <w:rsid w:val="00131186"/>
    <w:rsid w:val="00132878"/>
    <w:rsid w:val="00137CC0"/>
    <w:rsid w:val="001413AC"/>
    <w:rsid w:val="00141414"/>
    <w:rsid w:val="00142808"/>
    <w:rsid w:val="00142BF9"/>
    <w:rsid w:val="00144B3D"/>
    <w:rsid w:val="0015395D"/>
    <w:rsid w:val="00155034"/>
    <w:rsid w:val="00160593"/>
    <w:rsid w:val="00160B66"/>
    <w:rsid w:val="00162416"/>
    <w:rsid w:val="00162714"/>
    <w:rsid w:val="00163513"/>
    <w:rsid w:val="0016396C"/>
    <w:rsid w:val="001648C3"/>
    <w:rsid w:val="00164C4C"/>
    <w:rsid w:val="00166F06"/>
    <w:rsid w:val="00172464"/>
    <w:rsid w:val="00172978"/>
    <w:rsid w:val="00175DC9"/>
    <w:rsid w:val="00177083"/>
    <w:rsid w:val="0018054D"/>
    <w:rsid w:val="001821F5"/>
    <w:rsid w:val="00182E7C"/>
    <w:rsid w:val="0018511A"/>
    <w:rsid w:val="001856F6"/>
    <w:rsid w:val="001876D1"/>
    <w:rsid w:val="00190ADB"/>
    <w:rsid w:val="001956C6"/>
    <w:rsid w:val="001A1D6B"/>
    <w:rsid w:val="001A329E"/>
    <w:rsid w:val="001A448F"/>
    <w:rsid w:val="001A4AB8"/>
    <w:rsid w:val="001B2493"/>
    <w:rsid w:val="001B3194"/>
    <w:rsid w:val="001B51D8"/>
    <w:rsid w:val="001B58DF"/>
    <w:rsid w:val="001B61A9"/>
    <w:rsid w:val="001B61DF"/>
    <w:rsid w:val="001C04AD"/>
    <w:rsid w:val="001C4F77"/>
    <w:rsid w:val="001C7451"/>
    <w:rsid w:val="001D1681"/>
    <w:rsid w:val="001D2348"/>
    <w:rsid w:val="001D2B4D"/>
    <w:rsid w:val="001D516C"/>
    <w:rsid w:val="001D5B40"/>
    <w:rsid w:val="001E3798"/>
    <w:rsid w:val="001E7368"/>
    <w:rsid w:val="001E77D7"/>
    <w:rsid w:val="001F3449"/>
    <w:rsid w:val="001F49E3"/>
    <w:rsid w:val="0020482D"/>
    <w:rsid w:val="002059EE"/>
    <w:rsid w:val="00215948"/>
    <w:rsid w:val="00217692"/>
    <w:rsid w:val="002238D4"/>
    <w:rsid w:val="00224DD5"/>
    <w:rsid w:val="00225211"/>
    <w:rsid w:val="002258D1"/>
    <w:rsid w:val="002305EB"/>
    <w:rsid w:val="002319C5"/>
    <w:rsid w:val="00235862"/>
    <w:rsid w:val="00243CF2"/>
    <w:rsid w:val="00243E77"/>
    <w:rsid w:val="002460B6"/>
    <w:rsid w:val="002467C1"/>
    <w:rsid w:val="00250009"/>
    <w:rsid w:val="0025307D"/>
    <w:rsid w:val="002533EC"/>
    <w:rsid w:val="00253845"/>
    <w:rsid w:val="002544D1"/>
    <w:rsid w:val="002554ED"/>
    <w:rsid w:val="00261537"/>
    <w:rsid w:val="002635CA"/>
    <w:rsid w:val="002679B6"/>
    <w:rsid w:val="00274482"/>
    <w:rsid w:val="0027515F"/>
    <w:rsid w:val="00275AA3"/>
    <w:rsid w:val="00277A2C"/>
    <w:rsid w:val="00287DAD"/>
    <w:rsid w:val="00290922"/>
    <w:rsid w:val="00292F92"/>
    <w:rsid w:val="002935A1"/>
    <w:rsid w:val="00294F07"/>
    <w:rsid w:val="0029522D"/>
    <w:rsid w:val="002953D0"/>
    <w:rsid w:val="00295498"/>
    <w:rsid w:val="0029625C"/>
    <w:rsid w:val="0029789F"/>
    <w:rsid w:val="00297FFB"/>
    <w:rsid w:val="002A0F6A"/>
    <w:rsid w:val="002A4E55"/>
    <w:rsid w:val="002B037A"/>
    <w:rsid w:val="002B124F"/>
    <w:rsid w:val="002B1F5B"/>
    <w:rsid w:val="002B27C9"/>
    <w:rsid w:val="002B7C65"/>
    <w:rsid w:val="002C1196"/>
    <w:rsid w:val="002C128F"/>
    <w:rsid w:val="002C2977"/>
    <w:rsid w:val="002C38DC"/>
    <w:rsid w:val="002C745B"/>
    <w:rsid w:val="002C7A7A"/>
    <w:rsid w:val="002D2850"/>
    <w:rsid w:val="002D4D57"/>
    <w:rsid w:val="002E0C8F"/>
    <w:rsid w:val="002E1751"/>
    <w:rsid w:val="002E21FA"/>
    <w:rsid w:val="002E36F8"/>
    <w:rsid w:val="002E4309"/>
    <w:rsid w:val="002E5964"/>
    <w:rsid w:val="002E6600"/>
    <w:rsid w:val="002F2849"/>
    <w:rsid w:val="002F4045"/>
    <w:rsid w:val="002F41C6"/>
    <w:rsid w:val="00307AD6"/>
    <w:rsid w:val="00310B94"/>
    <w:rsid w:val="0031475B"/>
    <w:rsid w:val="00320529"/>
    <w:rsid w:val="003207B2"/>
    <w:rsid w:val="0032457A"/>
    <w:rsid w:val="00325EB5"/>
    <w:rsid w:val="00334B6F"/>
    <w:rsid w:val="003364E6"/>
    <w:rsid w:val="003369E1"/>
    <w:rsid w:val="00343691"/>
    <w:rsid w:val="00344A53"/>
    <w:rsid w:val="00345C3B"/>
    <w:rsid w:val="0034635D"/>
    <w:rsid w:val="00346E60"/>
    <w:rsid w:val="003567F9"/>
    <w:rsid w:val="003574DB"/>
    <w:rsid w:val="0036011A"/>
    <w:rsid w:val="003618C8"/>
    <w:rsid w:val="00361B3C"/>
    <w:rsid w:val="003627F2"/>
    <w:rsid w:val="00364DB6"/>
    <w:rsid w:val="00366973"/>
    <w:rsid w:val="00366993"/>
    <w:rsid w:val="003730F5"/>
    <w:rsid w:val="0037567B"/>
    <w:rsid w:val="0037659C"/>
    <w:rsid w:val="00377C0C"/>
    <w:rsid w:val="00381AA1"/>
    <w:rsid w:val="00381CD3"/>
    <w:rsid w:val="00383252"/>
    <w:rsid w:val="00384A1C"/>
    <w:rsid w:val="00385DA3"/>
    <w:rsid w:val="00390AA7"/>
    <w:rsid w:val="00390EAF"/>
    <w:rsid w:val="00391C5D"/>
    <w:rsid w:val="00392A3D"/>
    <w:rsid w:val="0039342F"/>
    <w:rsid w:val="00396ED2"/>
    <w:rsid w:val="0039736C"/>
    <w:rsid w:val="003A0798"/>
    <w:rsid w:val="003A2598"/>
    <w:rsid w:val="003A27E5"/>
    <w:rsid w:val="003A6504"/>
    <w:rsid w:val="003B1707"/>
    <w:rsid w:val="003B2B3B"/>
    <w:rsid w:val="003B2C98"/>
    <w:rsid w:val="003B4028"/>
    <w:rsid w:val="003B4E2D"/>
    <w:rsid w:val="003C3564"/>
    <w:rsid w:val="003C39CC"/>
    <w:rsid w:val="003C47FE"/>
    <w:rsid w:val="003C48B6"/>
    <w:rsid w:val="003D0D6F"/>
    <w:rsid w:val="003D480E"/>
    <w:rsid w:val="003D653F"/>
    <w:rsid w:val="003E2176"/>
    <w:rsid w:val="003E2EB9"/>
    <w:rsid w:val="003E403D"/>
    <w:rsid w:val="003E4512"/>
    <w:rsid w:val="003F4815"/>
    <w:rsid w:val="004052C6"/>
    <w:rsid w:val="004073AC"/>
    <w:rsid w:val="00407873"/>
    <w:rsid w:val="0041223B"/>
    <w:rsid w:val="004124FF"/>
    <w:rsid w:val="00413D90"/>
    <w:rsid w:val="00414DFA"/>
    <w:rsid w:val="0042217C"/>
    <w:rsid w:val="00423229"/>
    <w:rsid w:val="00424AC2"/>
    <w:rsid w:val="004304BF"/>
    <w:rsid w:val="004365E4"/>
    <w:rsid w:val="004368FD"/>
    <w:rsid w:val="00436913"/>
    <w:rsid w:val="00441269"/>
    <w:rsid w:val="00441744"/>
    <w:rsid w:val="004500D6"/>
    <w:rsid w:val="00450584"/>
    <w:rsid w:val="00453487"/>
    <w:rsid w:val="00453966"/>
    <w:rsid w:val="00453DF0"/>
    <w:rsid w:val="00454C77"/>
    <w:rsid w:val="004552A2"/>
    <w:rsid w:val="004610F3"/>
    <w:rsid w:val="00462510"/>
    <w:rsid w:val="004661AC"/>
    <w:rsid w:val="0046746F"/>
    <w:rsid w:val="0047039A"/>
    <w:rsid w:val="00470979"/>
    <w:rsid w:val="00471595"/>
    <w:rsid w:val="00474103"/>
    <w:rsid w:val="0048171A"/>
    <w:rsid w:val="0048296F"/>
    <w:rsid w:val="004860E5"/>
    <w:rsid w:val="00494B5C"/>
    <w:rsid w:val="004969FC"/>
    <w:rsid w:val="004A0649"/>
    <w:rsid w:val="004A0CCD"/>
    <w:rsid w:val="004A1675"/>
    <w:rsid w:val="004A3855"/>
    <w:rsid w:val="004A4FA5"/>
    <w:rsid w:val="004A559B"/>
    <w:rsid w:val="004A596E"/>
    <w:rsid w:val="004B0B55"/>
    <w:rsid w:val="004B5D25"/>
    <w:rsid w:val="004C0325"/>
    <w:rsid w:val="004C3224"/>
    <w:rsid w:val="004C3597"/>
    <w:rsid w:val="004C64E6"/>
    <w:rsid w:val="004C6C31"/>
    <w:rsid w:val="004C7062"/>
    <w:rsid w:val="004C7834"/>
    <w:rsid w:val="004D7007"/>
    <w:rsid w:val="004E2E4B"/>
    <w:rsid w:val="004E4CB7"/>
    <w:rsid w:val="004E65EF"/>
    <w:rsid w:val="004E7BFD"/>
    <w:rsid w:val="004F01D8"/>
    <w:rsid w:val="004F2009"/>
    <w:rsid w:val="004F4D85"/>
    <w:rsid w:val="004F541B"/>
    <w:rsid w:val="005051B1"/>
    <w:rsid w:val="00505C08"/>
    <w:rsid w:val="00506C67"/>
    <w:rsid w:val="00507E03"/>
    <w:rsid w:val="005131DE"/>
    <w:rsid w:val="005131E3"/>
    <w:rsid w:val="0051397A"/>
    <w:rsid w:val="00514FAC"/>
    <w:rsid w:val="00517E52"/>
    <w:rsid w:val="0052040D"/>
    <w:rsid w:val="005216E8"/>
    <w:rsid w:val="005219C0"/>
    <w:rsid w:val="00522D72"/>
    <w:rsid w:val="0052304C"/>
    <w:rsid w:val="005268CF"/>
    <w:rsid w:val="00526B4D"/>
    <w:rsid w:val="00533C92"/>
    <w:rsid w:val="005360A2"/>
    <w:rsid w:val="00541B6B"/>
    <w:rsid w:val="00541EDC"/>
    <w:rsid w:val="00542246"/>
    <w:rsid w:val="00542616"/>
    <w:rsid w:val="0054264C"/>
    <w:rsid w:val="00543D9B"/>
    <w:rsid w:val="00544B34"/>
    <w:rsid w:val="00547600"/>
    <w:rsid w:val="00550E11"/>
    <w:rsid w:val="00551CA5"/>
    <w:rsid w:val="0055451A"/>
    <w:rsid w:val="00555839"/>
    <w:rsid w:val="005604BB"/>
    <w:rsid w:val="005615FB"/>
    <w:rsid w:val="00565175"/>
    <w:rsid w:val="0056526C"/>
    <w:rsid w:val="00565F67"/>
    <w:rsid w:val="00570BB3"/>
    <w:rsid w:val="005771B8"/>
    <w:rsid w:val="005801B7"/>
    <w:rsid w:val="00584216"/>
    <w:rsid w:val="005867AF"/>
    <w:rsid w:val="00587C07"/>
    <w:rsid w:val="0059318C"/>
    <w:rsid w:val="0059445E"/>
    <w:rsid w:val="00594CE3"/>
    <w:rsid w:val="005A198A"/>
    <w:rsid w:val="005A238A"/>
    <w:rsid w:val="005A3FC0"/>
    <w:rsid w:val="005A589F"/>
    <w:rsid w:val="005A6334"/>
    <w:rsid w:val="005A6414"/>
    <w:rsid w:val="005A7474"/>
    <w:rsid w:val="005B1969"/>
    <w:rsid w:val="005B1BBD"/>
    <w:rsid w:val="005B3E09"/>
    <w:rsid w:val="005B570C"/>
    <w:rsid w:val="005B58AF"/>
    <w:rsid w:val="005C0F1C"/>
    <w:rsid w:val="005C299F"/>
    <w:rsid w:val="005C4E34"/>
    <w:rsid w:val="005C4FE1"/>
    <w:rsid w:val="005C50B6"/>
    <w:rsid w:val="005C6B09"/>
    <w:rsid w:val="005D4CC7"/>
    <w:rsid w:val="005E2E79"/>
    <w:rsid w:val="005E35FD"/>
    <w:rsid w:val="005E4903"/>
    <w:rsid w:val="005E68E2"/>
    <w:rsid w:val="005F2914"/>
    <w:rsid w:val="005F4047"/>
    <w:rsid w:val="005F48AB"/>
    <w:rsid w:val="005F6DB8"/>
    <w:rsid w:val="005F78EB"/>
    <w:rsid w:val="005F7F70"/>
    <w:rsid w:val="00605026"/>
    <w:rsid w:val="00605F54"/>
    <w:rsid w:val="00606253"/>
    <w:rsid w:val="00606B3D"/>
    <w:rsid w:val="00607C0B"/>
    <w:rsid w:val="00607DAD"/>
    <w:rsid w:val="00610E06"/>
    <w:rsid w:val="00613A65"/>
    <w:rsid w:val="0061406A"/>
    <w:rsid w:val="006140FE"/>
    <w:rsid w:val="0061455D"/>
    <w:rsid w:val="00615A38"/>
    <w:rsid w:val="00615B28"/>
    <w:rsid w:val="006166C9"/>
    <w:rsid w:val="00620E20"/>
    <w:rsid w:val="00623988"/>
    <w:rsid w:val="00625FBE"/>
    <w:rsid w:val="00635A25"/>
    <w:rsid w:val="00636699"/>
    <w:rsid w:val="006422CA"/>
    <w:rsid w:val="00644181"/>
    <w:rsid w:val="0064434E"/>
    <w:rsid w:val="00656DCF"/>
    <w:rsid w:val="00673A41"/>
    <w:rsid w:val="00673BA2"/>
    <w:rsid w:val="00675BA7"/>
    <w:rsid w:val="00681D31"/>
    <w:rsid w:val="00682071"/>
    <w:rsid w:val="0068239A"/>
    <w:rsid w:val="006831C1"/>
    <w:rsid w:val="0068375F"/>
    <w:rsid w:val="00684C16"/>
    <w:rsid w:val="006855F1"/>
    <w:rsid w:val="0068791E"/>
    <w:rsid w:val="006914D9"/>
    <w:rsid w:val="00691AAB"/>
    <w:rsid w:val="00691ECC"/>
    <w:rsid w:val="00691FBF"/>
    <w:rsid w:val="0069473B"/>
    <w:rsid w:val="006A198A"/>
    <w:rsid w:val="006A52D4"/>
    <w:rsid w:val="006A73CB"/>
    <w:rsid w:val="006A73D8"/>
    <w:rsid w:val="006A74ED"/>
    <w:rsid w:val="006B06E8"/>
    <w:rsid w:val="006B08E3"/>
    <w:rsid w:val="006B1D7B"/>
    <w:rsid w:val="006B44C5"/>
    <w:rsid w:val="006B5031"/>
    <w:rsid w:val="006B79E2"/>
    <w:rsid w:val="006C184D"/>
    <w:rsid w:val="006C20A1"/>
    <w:rsid w:val="006C6CBA"/>
    <w:rsid w:val="006C783F"/>
    <w:rsid w:val="006C7878"/>
    <w:rsid w:val="006D1790"/>
    <w:rsid w:val="006D43A7"/>
    <w:rsid w:val="006D4E44"/>
    <w:rsid w:val="006D527F"/>
    <w:rsid w:val="006D64AE"/>
    <w:rsid w:val="006D6ED7"/>
    <w:rsid w:val="006E0F8B"/>
    <w:rsid w:val="006E2A87"/>
    <w:rsid w:val="006E3A14"/>
    <w:rsid w:val="006E44C2"/>
    <w:rsid w:val="006E4BE3"/>
    <w:rsid w:val="006E5271"/>
    <w:rsid w:val="006E5DF5"/>
    <w:rsid w:val="006F0FAC"/>
    <w:rsid w:val="006F2015"/>
    <w:rsid w:val="006F2E34"/>
    <w:rsid w:val="006F38CD"/>
    <w:rsid w:val="006F4DE3"/>
    <w:rsid w:val="006F5AD7"/>
    <w:rsid w:val="007006DC"/>
    <w:rsid w:val="00701AA9"/>
    <w:rsid w:val="00704836"/>
    <w:rsid w:val="00704DB8"/>
    <w:rsid w:val="00704F91"/>
    <w:rsid w:val="00705AAB"/>
    <w:rsid w:val="00710B10"/>
    <w:rsid w:val="007120D9"/>
    <w:rsid w:val="00713AB3"/>
    <w:rsid w:val="00716CEA"/>
    <w:rsid w:val="007174DA"/>
    <w:rsid w:val="007230DD"/>
    <w:rsid w:val="00725396"/>
    <w:rsid w:val="00725DCA"/>
    <w:rsid w:val="00730635"/>
    <w:rsid w:val="00735182"/>
    <w:rsid w:val="00736B7A"/>
    <w:rsid w:val="0073714C"/>
    <w:rsid w:val="00743CB6"/>
    <w:rsid w:val="00747098"/>
    <w:rsid w:val="00752D3E"/>
    <w:rsid w:val="0075358E"/>
    <w:rsid w:val="007544F9"/>
    <w:rsid w:val="0075506F"/>
    <w:rsid w:val="007617C8"/>
    <w:rsid w:val="0076202E"/>
    <w:rsid w:val="0076338F"/>
    <w:rsid w:val="00764075"/>
    <w:rsid w:val="00765D7D"/>
    <w:rsid w:val="00767550"/>
    <w:rsid w:val="007679B5"/>
    <w:rsid w:val="007706A8"/>
    <w:rsid w:val="0077097E"/>
    <w:rsid w:val="0077430A"/>
    <w:rsid w:val="007754E1"/>
    <w:rsid w:val="00776085"/>
    <w:rsid w:val="00783BF2"/>
    <w:rsid w:val="00785CA5"/>
    <w:rsid w:val="0078612C"/>
    <w:rsid w:val="00786552"/>
    <w:rsid w:val="00787552"/>
    <w:rsid w:val="00787B61"/>
    <w:rsid w:val="00787D2F"/>
    <w:rsid w:val="007913B4"/>
    <w:rsid w:val="007915BC"/>
    <w:rsid w:val="00794929"/>
    <w:rsid w:val="00794C64"/>
    <w:rsid w:val="00795877"/>
    <w:rsid w:val="007A54BD"/>
    <w:rsid w:val="007A74E7"/>
    <w:rsid w:val="007A7726"/>
    <w:rsid w:val="007A7F93"/>
    <w:rsid w:val="007B1EFC"/>
    <w:rsid w:val="007B3066"/>
    <w:rsid w:val="007B31DB"/>
    <w:rsid w:val="007B343F"/>
    <w:rsid w:val="007B7980"/>
    <w:rsid w:val="007D1569"/>
    <w:rsid w:val="007D17A2"/>
    <w:rsid w:val="007D31EA"/>
    <w:rsid w:val="007D3417"/>
    <w:rsid w:val="007D4699"/>
    <w:rsid w:val="007D53F5"/>
    <w:rsid w:val="007D679C"/>
    <w:rsid w:val="007D747E"/>
    <w:rsid w:val="007E2F6E"/>
    <w:rsid w:val="007E331C"/>
    <w:rsid w:val="007E7676"/>
    <w:rsid w:val="007F4246"/>
    <w:rsid w:val="007F4884"/>
    <w:rsid w:val="007F49E3"/>
    <w:rsid w:val="007F57FD"/>
    <w:rsid w:val="007F7EA7"/>
    <w:rsid w:val="00811E59"/>
    <w:rsid w:val="00812AC9"/>
    <w:rsid w:val="00813538"/>
    <w:rsid w:val="008163E2"/>
    <w:rsid w:val="00816E40"/>
    <w:rsid w:val="00821C2D"/>
    <w:rsid w:val="00824495"/>
    <w:rsid w:val="00825267"/>
    <w:rsid w:val="0082649E"/>
    <w:rsid w:val="00831449"/>
    <w:rsid w:val="00835540"/>
    <w:rsid w:val="00837E8A"/>
    <w:rsid w:val="00841742"/>
    <w:rsid w:val="00841DAB"/>
    <w:rsid w:val="00842C53"/>
    <w:rsid w:val="00843084"/>
    <w:rsid w:val="0084389B"/>
    <w:rsid w:val="00844FB5"/>
    <w:rsid w:val="008453F4"/>
    <w:rsid w:val="00846A93"/>
    <w:rsid w:val="00847707"/>
    <w:rsid w:val="0085341E"/>
    <w:rsid w:val="0085406F"/>
    <w:rsid w:val="008573B8"/>
    <w:rsid w:val="0086140C"/>
    <w:rsid w:val="008623EF"/>
    <w:rsid w:val="00862C98"/>
    <w:rsid w:val="00863ED4"/>
    <w:rsid w:val="0086567E"/>
    <w:rsid w:val="00867B7F"/>
    <w:rsid w:val="0087164F"/>
    <w:rsid w:val="008737E1"/>
    <w:rsid w:val="00875AA9"/>
    <w:rsid w:val="00885830"/>
    <w:rsid w:val="00887964"/>
    <w:rsid w:val="00890E6E"/>
    <w:rsid w:val="00891ABF"/>
    <w:rsid w:val="00892324"/>
    <w:rsid w:val="0089668E"/>
    <w:rsid w:val="00897A70"/>
    <w:rsid w:val="008A018F"/>
    <w:rsid w:val="008A5C69"/>
    <w:rsid w:val="008B220A"/>
    <w:rsid w:val="008B45F0"/>
    <w:rsid w:val="008B485A"/>
    <w:rsid w:val="008B5791"/>
    <w:rsid w:val="008B5FC8"/>
    <w:rsid w:val="008B67B6"/>
    <w:rsid w:val="008C371D"/>
    <w:rsid w:val="008C4773"/>
    <w:rsid w:val="008C49AB"/>
    <w:rsid w:val="008C4E8D"/>
    <w:rsid w:val="008C5B62"/>
    <w:rsid w:val="008C7AEF"/>
    <w:rsid w:val="008D160F"/>
    <w:rsid w:val="008D2827"/>
    <w:rsid w:val="008D3799"/>
    <w:rsid w:val="008D563E"/>
    <w:rsid w:val="008E22FE"/>
    <w:rsid w:val="008E478F"/>
    <w:rsid w:val="008E6847"/>
    <w:rsid w:val="008E7E28"/>
    <w:rsid w:val="008F16CE"/>
    <w:rsid w:val="008F28CE"/>
    <w:rsid w:val="008F546F"/>
    <w:rsid w:val="008F6D01"/>
    <w:rsid w:val="008F6F69"/>
    <w:rsid w:val="00904642"/>
    <w:rsid w:val="00905F3B"/>
    <w:rsid w:val="0090678F"/>
    <w:rsid w:val="009072C8"/>
    <w:rsid w:val="00913128"/>
    <w:rsid w:val="00913441"/>
    <w:rsid w:val="009144F2"/>
    <w:rsid w:val="00915603"/>
    <w:rsid w:val="00917881"/>
    <w:rsid w:val="009268C5"/>
    <w:rsid w:val="00933517"/>
    <w:rsid w:val="00933FDE"/>
    <w:rsid w:val="00942DD0"/>
    <w:rsid w:val="00943E8A"/>
    <w:rsid w:val="0094547D"/>
    <w:rsid w:val="00945E6E"/>
    <w:rsid w:val="009520C2"/>
    <w:rsid w:val="00953D6D"/>
    <w:rsid w:val="009549DF"/>
    <w:rsid w:val="00954C8B"/>
    <w:rsid w:val="00961B52"/>
    <w:rsid w:val="00962E87"/>
    <w:rsid w:val="00963CEF"/>
    <w:rsid w:val="00964EC4"/>
    <w:rsid w:val="00964FF0"/>
    <w:rsid w:val="0096691F"/>
    <w:rsid w:val="00970586"/>
    <w:rsid w:val="00970906"/>
    <w:rsid w:val="00971229"/>
    <w:rsid w:val="0097288F"/>
    <w:rsid w:val="00980500"/>
    <w:rsid w:val="009821D5"/>
    <w:rsid w:val="00984E97"/>
    <w:rsid w:val="00985966"/>
    <w:rsid w:val="00985F71"/>
    <w:rsid w:val="009863C4"/>
    <w:rsid w:val="00986582"/>
    <w:rsid w:val="00986F0D"/>
    <w:rsid w:val="00992042"/>
    <w:rsid w:val="009A224E"/>
    <w:rsid w:val="009A7690"/>
    <w:rsid w:val="009B19BA"/>
    <w:rsid w:val="009B24DD"/>
    <w:rsid w:val="009B296E"/>
    <w:rsid w:val="009B5535"/>
    <w:rsid w:val="009B5929"/>
    <w:rsid w:val="009B5F58"/>
    <w:rsid w:val="009C0CC1"/>
    <w:rsid w:val="009C10C0"/>
    <w:rsid w:val="009C1FDB"/>
    <w:rsid w:val="009C2A14"/>
    <w:rsid w:val="009C43E2"/>
    <w:rsid w:val="009C7141"/>
    <w:rsid w:val="009D1AD4"/>
    <w:rsid w:val="009D3C41"/>
    <w:rsid w:val="009D7C58"/>
    <w:rsid w:val="009E29F4"/>
    <w:rsid w:val="009E2A2F"/>
    <w:rsid w:val="009E3E6B"/>
    <w:rsid w:val="009E3FE7"/>
    <w:rsid w:val="009E4C36"/>
    <w:rsid w:val="009E608F"/>
    <w:rsid w:val="009F0058"/>
    <w:rsid w:val="009F0F93"/>
    <w:rsid w:val="009F2669"/>
    <w:rsid w:val="009F3FF2"/>
    <w:rsid w:val="009F4402"/>
    <w:rsid w:val="009F5DBF"/>
    <w:rsid w:val="00A0242A"/>
    <w:rsid w:val="00A02DD0"/>
    <w:rsid w:val="00A0500F"/>
    <w:rsid w:val="00A054D8"/>
    <w:rsid w:val="00A05B82"/>
    <w:rsid w:val="00A06B0A"/>
    <w:rsid w:val="00A07CBD"/>
    <w:rsid w:val="00A107C9"/>
    <w:rsid w:val="00A137FD"/>
    <w:rsid w:val="00A13D0D"/>
    <w:rsid w:val="00A1728C"/>
    <w:rsid w:val="00A20ABB"/>
    <w:rsid w:val="00A21A71"/>
    <w:rsid w:val="00A21DA5"/>
    <w:rsid w:val="00A2265F"/>
    <w:rsid w:val="00A2350E"/>
    <w:rsid w:val="00A2351A"/>
    <w:rsid w:val="00A23935"/>
    <w:rsid w:val="00A23E1B"/>
    <w:rsid w:val="00A24B2F"/>
    <w:rsid w:val="00A263B8"/>
    <w:rsid w:val="00A274B8"/>
    <w:rsid w:val="00A31A08"/>
    <w:rsid w:val="00A32370"/>
    <w:rsid w:val="00A32440"/>
    <w:rsid w:val="00A32E35"/>
    <w:rsid w:val="00A428F8"/>
    <w:rsid w:val="00A44F12"/>
    <w:rsid w:val="00A517D7"/>
    <w:rsid w:val="00A5336C"/>
    <w:rsid w:val="00A54B03"/>
    <w:rsid w:val="00A605F0"/>
    <w:rsid w:val="00A61B39"/>
    <w:rsid w:val="00A6405C"/>
    <w:rsid w:val="00A644E2"/>
    <w:rsid w:val="00A66E20"/>
    <w:rsid w:val="00A71D39"/>
    <w:rsid w:val="00A73F51"/>
    <w:rsid w:val="00A740FF"/>
    <w:rsid w:val="00A77E36"/>
    <w:rsid w:val="00A85559"/>
    <w:rsid w:val="00A93F78"/>
    <w:rsid w:val="00A951FF"/>
    <w:rsid w:val="00A9588C"/>
    <w:rsid w:val="00A95A42"/>
    <w:rsid w:val="00A96A26"/>
    <w:rsid w:val="00A97AF6"/>
    <w:rsid w:val="00AA1ACD"/>
    <w:rsid w:val="00AA4231"/>
    <w:rsid w:val="00AA48D6"/>
    <w:rsid w:val="00AA5B3C"/>
    <w:rsid w:val="00AB6060"/>
    <w:rsid w:val="00AB62F9"/>
    <w:rsid w:val="00AB63F7"/>
    <w:rsid w:val="00AB6991"/>
    <w:rsid w:val="00AC05F9"/>
    <w:rsid w:val="00AC1C21"/>
    <w:rsid w:val="00AC2F18"/>
    <w:rsid w:val="00AC3661"/>
    <w:rsid w:val="00AC4D99"/>
    <w:rsid w:val="00AC6F0C"/>
    <w:rsid w:val="00AC76F4"/>
    <w:rsid w:val="00AD36C1"/>
    <w:rsid w:val="00AD7DBE"/>
    <w:rsid w:val="00AE0DA5"/>
    <w:rsid w:val="00AE2804"/>
    <w:rsid w:val="00AE6142"/>
    <w:rsid w:val="00AF35A6"/>
    <w:rsid w:val="00AF43C2"/>
    <w:rsid w:val="00AF47CF"/>
    <w:rsid w:val="00AF6A6A"/>
    <w:rsid w:val="00B009E5"/>
    <w:rsid w:val="00B01C83"/>
    <w:rsid w:val="00B0454D"/>
    <w:rsid w:val="00B05266"/>
    <w:rsid w:val="00B1040E"/>
    <w:rsid w:val="00B118BC"/>
    <w:rsid w:val="00B14A19"/>
    <w:rsid w:val="00B20A0A"/>
    <w:rsid w:val="00B210C6"/>
    <w:rsid w:val="00B24543"/>
    <w:rsid w:val="00B2585E"/>
    <w:rsid w:val="00B30037"/>
    <w:rsid w:val="00B32639"/>
    <w:rsid w:val="00B34131"/>
    <w:rsid w:val="00B36653"/>
    <w:rsid w:val="00B36CEB"/>
    <w:rsid w:val="00B377C1"/>
    <w:rsid w:val="00B42631"/>
    <w:rsid w:val="00B449D8"/>
    <w:rsid w:val="00B45CA8"/>
    <w:rsid w:val="00B46367"/>
    <w:rsid w:val="00B46887"/>
    <w:rsid w:val="00B46D4E"/>
    <w:rsid w:val="00B47070"/>
    <w:rsid w:val="00B47D59"/>
    <w:rsid w:val="00B50365"/>
    <w:rsid w:val="00B51F7E"/>
    <w:rsid w:val="00B53688"/>
    <w:rsid w:val="00B54426"/>
    <w:rsid w:val="00B54995"/>
    <w:rsid w:val="00B62E7A"/>
    <w:rsid w:val="00B64C7C"/>
    <w:rsid w:val="00B7230B"/>
    <w:rsid w:val="00B771F8"/>
    <w:rsid w:val="00B8221E"/>
    <w:rsid w:val="00B91074"/>
    <w:rsid w:val="00B9315F"/>
    <w:rsid w:val="00B938C8"/>
    <w:rsid w:val="00B946A2"/>
    <w:rsid w:val="00B9511F"/>
    <w:rsid w:val="00B9593B"/>
    <w:rsid w:val="00BA19FA"/>
    <w:rsid w:val="00BA1BB5"/>
    <w:rsid w:val="00BA24D4"/>
    <w:rsid w:val="00BA3FF9"/>
    <w:rsid w:val="00BA50C3"/>
    <w:rsid w:val="00BA67E8"/>
    <w:rsid w:val="00BA7F30"/>
    <w:rsid w:val="00BB0C70"/>
    <w:rsid w:val="00BB30CD"/>
    <w:rsid w:val="00BC05B8"/>
    <w:rsid w:val="00BC07C3"/>
    <w:rsid w:val="00BC1DB3"/>
    <w:rsid w:val="00BC366B"/>
    <w:rsid w:val="00BD093B"/>
    <w:rsid w:val="00BD0964"/>
    <w:rsid w:val="00BD7B14"/>
    <w:rsid w:val="00BE0F43"/>
    <w:rsid w:val="00BE1000"/>
    <w:rsid w:val="00BF12C5"/>
    <w:rsid w:val="00BF28DC"/>
    <w:rsid w:val="00BF31AC"/>
    <w:rsid w:val="00BF4612"/>
    <w:rsid w:val="00BF63C8"/>
    <w:rsid w:val="00BF6A9E"/>
    <w:rsid w:val="00BF7CC7"/>
    <w:rsid w:val="00BF7F75"/>
    <w:rsid w:val="00C034D4"/>
    <w:rsid w:val="00C04162"/>
    <w:rsid w:val="00C055B3"/>
    <w:rsid w:val="00C06ACF"/>
    <w:rsid w:val="00C13399"/>
    <w:rsid w:val="00C13D7E"/>
    <w:rsid w:val="00C224F2"/>
    <w:rsid w:val="00C24198"/>
    <w:rsid w:val="00C265E9"/>
    <w:rsid w:val="00C3156D"/>
    <w:rsid w:val="00C34052"/>
    <w:rsid w:val="00C34A58"/>
    <w:rsid w:val="00C34AF2"/>
    <w:rsid w:val="00C35666"/>
    <w:rsid w:val="00C40E1F"/>
    <w:rsid w:val="00C45891"/>
    <w:rsid w:val="00C500CA"/>
    <w:rsid w:val="00C52D8B"/>
    <w:rsid w:val="00C55E46"/>
    <w:rsid w:val="00C628EF"/>
    <w:rsid w:val="00C65918"/>
    <w:rsid w:val="00C66418"/>
    <w:rsid w:val="00C66D93"/>
    <w:rsid w:val="00C713C5"/>
    <w:rsid w:val="00C71867"/>
    <w:rsid w:val="00C71E2F"/>
    <w:rsid w:val="00C71F9D"/>
    <w:rsid w:val="00C725A1"/>
    <w:rsid w:val="00C73DAA"/>
    <w:rsid w:val="00C74406"/>
    <w:rsid w:val="00C74472"/>
    <w:rsid w:val="00C74930"/>
    <w:rsid w:val="00C751E8"/>
    <w:rsid w:val="00C75F55"/>
    <w:rsid w:val="00C81688"/>
    <w:rsid w:val="00C863C5"/>
    <w:rsid w:val="00C86A5F"/>
    <w:rsid w:val="00C92672"/>
    <w:rsid w:val="00C95B56"/>
    <w:rsid w:val="00C97970"/>
    <w:rsid w:val="00CA0245"/>
    <w:rsid w:val="00CA4735"/>
    <w:rsid w:val="00CA4F2F"/>
    <w:rsid w:val="00CA6302"/>
    <w:rsid w:val="00CA683F"/>
    <w:rsid w:val="00CA7C4B"/>
    <w:rsid w:val="00CB08B4"/>
    <w:rsid w:val="00CB1DBC"/>
    <w:rsid w:val="00CB22BA"/>
    <w:rsid w:val="00CB4D4F"/>
    <w:rsid w:val="00CB6D54"/>
    <w:rsid w:val="00CC1340"/>
    <w:rsid w:val="00CC4034"/>
    <w:rsid w:val="00CC4158"/>
    <w:rsid w:val="00CC5860"/>
    <w:rsid w:val="00CC7AF4"/>
    <w:rsid w:val="00CC7CBA"/>
    <w:rsid w:val="00CD48B8"/>
    <w:rsid w:val="00CE0B60"/>
    <w:rsid w:val="00CE36DC"/>
    <w:rsid w:val="00CE3D4E"/>
    <w:rsid w:val="00CE530B"/>
    <w:rsid w:val="00CE74DB"/>
    <w:rsid w:val="00CF088D"/>
    <w:rsid w:val="00CF33D7"/>
    <w:rsid w:val="00CF50FA"/>
    <w:rsid w:val="00CF575E"/>
    <w:rsid w:val="00CF6D4A"/>
    <w:rsid w:val="00D00FC6"/>
    <w:rsid w:val="00D01FAA"/>
    <w:rsid w:val="00D02A9F"/>
    <w:rsid w:val="00D03FDF"/>
    <w:rsid w:val="00D04974"/>
    <w:rsid w:val="00D065D3"/>
    <w:rsid w:val="00D0722A"/>
    <w:rsid w:val="00D10874"/>
    <w:rsid w:val="00D1323C"/>
    <w:rsid w:val="00D16582"/>
    <w:rsid w:val="00D168FD"/>
    <w:rsid w:val="00D16A54"/>
    <w:rsid w:val="00D16D6A"/>
    <w:rsid w:val="00D172B6"/>
    <w:rsid w:val="00D2203A"/>
    <w:rsid w:val="00D22B73"/>
    <w:rsid w:val="00D263F1"/>
    <w:rsid w:val="00D27F89"/>
    <w:rsid w:val="00D30052"/>
    <w:rsid w:val="00D3019E"/>
    <w:rsid w:val="00D30754"/>
    <w:rsid w:val="00D318EE"/>
    <w:rsid w:val="00D3275E"/>
    <w:rsid w:val="00D33D64"/>
    <w:rsid w:val="00D3552C"/>
    <w:rsid w:val="00D430E1"/>
    <w:rsid w:val="00D43B72"/>
    <w:rsid w:val="00D4514B"/>
    <w:rsid w:val="00D4516C"/>
    <w:rsid w:val="00D4689E"/>
    <w:rsid w:val="00D47E50"/>
    <w:rsid w:val="00D520D9"/>
    <w:rsid w:val="00D543E5"/>
    <w:rsid w:val="00D5591D"/>
    <w:rsid w:val="00D56C01"/>
    <w:rsid w:val="00D57F33"/>
    <w:rsid w:val="00D631FE"/>
    <w:rsid w:val="00D654E1"/>
    <w:rsid w:val="00D700BF"/>
    <w:rsid w:val="00D70929"/>
    <w:rsid w:val="00D7140F"/>
    <w:rsid w:val="00D77F08"/>
    <w:rsid w:val="00D80AB1"/>
    <w:rsid w:val="00D814C6"/>
    <w:rsid w:val="00D81530"/>
    <w:rsid w:val="00D819E6"/>
    <w:rsid w:val="00D905D2"/>
    <w:rsid w:val="00D93013"/>
    <w:rsid w:val="00D93ED5"/>
    <w:rsid w:val="00D97056"/>
    <w:rsid w:val="00D9720D"/>
    <w:rsid w:val="00D97647"/>
    <w:rsid w:val="00DA12A3"/>
    <w:rsid w:val="00DA43CD"/>
    <w:rsid w:val="00DA62E5"/>
    <w:rsid w:val="00DA6DCB"/>
    <w:rsid w:val="00DB06CE"/>
    <w:rsid w:val="00DB2419"/>
    <w:rsid w:val="00DB2474"/>
    <w:rsid w:val="00DB2B1E"/>
    <w:rsid w:val="00DB2EF4"/>
    <w:rsid w:val="00DC0125"/>
    <w:rsid w:val="00DC045C"/>
    <w:rsid w:val="00DC14E3"/>
    <w:rsid w:val="00DC5EB7"/>
    <w:rsid w:val="00DD0FB5"/>
    <w:rsid w:val="00DD27CF"/>
    <w:rsid w:val="00DD281F"/>
    <w:rsid w:val="00DE2CD2"/>
    <w:rsid w:val="00DE35B2"/>
    <w:rsid w:val="00DE3D02"/>
    <w:rsid w:val="00DF24A1"/>
    <w:rsid w:val="00DF3EF2"/>
    <w:rsid w:val="00DF58EF"/>
    <w:rsid w:val="00E034E9"/>
    <w:rsid w:val="00E04A8F"/>
    <w:rsid w:val="00E06D34"/>
    <w:rsid w:val="00E11AEA"/>
    <w:rsid w:val="00E17587"/>
    <w:rsid w:val="00E17623"/>
    <w:rsid w:val="00E17755"/>
    <w:rsid w:val="00E21079"/>
    <w:rsid w:val="00E23A40"/>
    <w:rsid w:val="00E303CD"/>
    <w:rsid w:val="00E30F7C"/>
    <w:rsid w:val="00E314EE"/>
    <w:rsid w:val="00E33437"/>
    <w:rsid w:val="00E37E41"/>
    <w:rsid w:val="00E446D5"/>
    <w:rsid w:val="00E470FC"/>
    <w:rsid w:val="00E474D6"/>
    <w:rsid w:val="00E47D74"/>
    <w:rsid w:val="00E50E3D"/>
    <w:rsid w:val="00E51CC4"/>
    <w:rsid w:val="00E567F5"/>
    <w:rsid w:val="00E6364B"/>
    <w:rsid w:val="00E665E6"/>
    <w:rsid w:val="00E706D7"/>
    <w:rsid w:val="00E71EDA"/>
    <w:rsid w:val="00E74418"/>
    <w:rsid w:val="00E74425"/>
    <w:rsid w:val="00E75BC3"/>
    <w:rsid w:val="00E77830"/>
    <w:rsid w:val="00E8069A"/>
    <w:rsid w:val="00E83AA7"/>
    <w:rsid w:val="00E86F32"/>
    <w:rsid w:val="00E87B23"/>
    <w:rsid w:val="00E90BA8"/>
    <w:rsid w:val="00E921FD"/>
    <w:rsid w:val="00E942C4"/>
    <w:rsid w:val="00E95841"/>
    <w:rsid w:val="00E9607B"/>
    <w:rsid w:val="00E961AA"/>
    <w:rsid w:val="00E97677"/>
    <w:rsid w:val="00E97BE4"/>
    <w:rsid w:val="00EA2281"/>
    <w:rsid w:val="00EA40F7"/>
    <w:rsid w:val="00EB09D8"/>
    <w:rsid w:val="00EB1D31"/>
    <w:rsid w:val="00EB370F"/>
    <w:rsid w:val="00EB5715"/>
    <w:rsid w:val="00EB6DFD"/>
    <w:rsid w:val="00EC1C8D"/>
    <w:rsid w:val="00EC2916"/>
    <w:rsid w:val="00EC4D3E"/>
    <w:rsid w:val="00EC5E2D"/>
    <w:rsid w:val="00ED0016"/>
    <w:rsid w:val="00ED057F"/>
    <w:rsid w:val="00ED43F7"/>
    <w:rsid w:val="00ED5E1B"/>
    <w:rsid w:val="00EE2C76"/>
    <w:rsid w:val="00EE375A"/>
    <w:rsid w:val="00EE63E1"/>
    <w:rsid w:val="00EE6F35"/>
    <w:rsid w:val="00EE74A5"/>
    <w:rsid w:val="00EF028E"/>
    <w:rsid w:val="00EF4E80"/>
    <w:rsid w:val="00EF6146"/>
    <w:rsid w:val="00EF79CD"/>
    <w:rsid w:val="00F017AA"/>
    <w:rsid w:val="00F01B50"/>
    <w:rsid w:val="00F01BFA"/>
    <w:rsid w:val="00F06393"/>
    <w:rsid w:val="00F0743E"/>
    <w:rsid w:val="00F140A9"/>
    <w:rsid w:val="00F170F5"/>
    <w:rsid w:val="00F21511"/>
    <w:rsid w:val="00F21FD4"/>
    <w:rsid w:val="00F2549A"/>
    <w:rsid w:val="00F32AAE"/>
    <w:rsid w:val="00F32D62"/>
    <w:rsid w:val="00F33078"/>
    <w:rsid w:val="00F35C54"/>
    <w:rsid w:val="00F42601"/>
    <w:rsid w:val="00F43CE6"/>
    <w:rsid w:val="00F448D4"/>
    <w:rsid w:val="00F45DE3"/>
    <w:rsid w:val="00F4682E"/>
    <w:rsid w:val="00F478F9"/>
    <w:rsid w:val="00F50530"/>
    <w:rsid w:val="00F50B72"/>
    <w:rsid w:val="00F50ED1"/>
    <w:rsid w:val="00F5239F"/>
    <w:rsid w:val="00F622B6"/>
    <w:rsid w:val="00F62FA8"/>
    <w:rsid w:val="00F63575"/>
    <w:rsid w:val="00F67BC9"/>
    <w:rsid w:val="00F67C91"/>
    <w:rsid w:val="00F70F54"/>
    <w:rsid w:val="00F71735"/>
    <w:rsid w:val="00F76F24"/>
    <w:rsid w:val="00F81F27"/>
    <w:rsid w:val="00F83857"/>
    <w:rsid w:val="00F86D73"/>
    <w:rsid w:val="00F90926"/>
    <w:rsid w:val="00F940A0"/>
    <w:rsid w:val="00F94D7B"/>
    <w:rsid w:val="00F9622D"/>
    <w:rsid w:val="00FA6EA5"/>
    <w:rsid w:val="00FB4E05"/>
    <w:rsid w:val="00FB64C7"/>
    <w:rsid w:val="00FB663C"/>
    <w:rsid w:val="00FC0323"/>
    <w:rsid w:val="00FC2B17"/>
    <w:rsid w:val="00FC5F1A"/>
    <w:rsid w:val="00FD1530"/>
    <w:rsid w:val="00FD483F"/>
    <w:rsid w:val="00FD653D"/>
    <w:rsid w:val="00FD741E"/>
    <w:rsid w:val="00FE1BCE"/>
    <w:rsid w:val="00FF2418"/>
    <w:rsid w:val="00FF3929"/>
    <w:rsid w:val="00FF749F"/>
    <w:rsid w:val="010121B4"/>
    <w:rsid w:val="01133753"/>
    <w:rsid w:val="011C0FF8"/>
    <w:rsid w:val="011F4755"/>
    <w:rsid w:val="017C26C1"/>
    <w:rsid w:val="025A21B2"/>
    <w:rsid w:val="025E466E"/>
    <w:rsid w:val="02985ED1"/>
    <w:rsid w:val="02A837E9"/>
    <w:rsid w:val="02B73E03"/>
    <w:rsid w:val="02DA6D6A"/>
    <w:rsid w:val="02DF2025"/>
    <w:rsid w:val="03056101"/>
    <w:rsid w:val="03256371"/>
    <w:rsid w:val="032D68C3"/>
    <w:rsid w:val="0333635B"/>
    <w:rsid w:val="035D37EA"/>
    <w:rsid w:val="037164C4"/>
    <w:rsid w:val="03764262"/>
    <w:rsid w:val="04044BE3"/>
    <w:rsid w:val="0464670D"/>
    <w:rsid w:val="04692EAF"/>
    <w:rsid w:val="04C035DB"/>
    <w:rsid w:val="050155E9"/>
    <w:rsid w:val="0539061F"/>
    <w:rsid w:val="054953DA"/>
    <w:rsid w:val="05500244"/>
    <w:rsid w:val="05C43A86"/>
    <w:rsid w:val="05E57FFF"/>
    <w:rsid w:val="06104B20"/>
    <w:rsid w:val="06223E20"/>
    <w:rsid w:val="062D7C32"/>
    <w:rsid w:val="06C05FAB"/>
    <w:rsid w:val="07040B8F"/>
    <w:rsid w:val="071163A2"/>
    <w:rsid w:val="076B1EF0"/>
    <w:rsid w:val="07853B87"/>
    <w:rsid w:val="07983134"/>
    <w:rsid w:val="07E555B3"/>
    <w:rsid w:val="07FC1127"/>
    <w:rsid w:val="080C13C2"/>
    <w:rsid w:val="086624EC"/>
    <w:rsid w:val="086D0AD3"/>
    <w:rsid w:val="0910796B"/>
    <w:rsid w:val="09410948"/>
    <w:rsid w:val="094B42CC"/>
    <w:rsid w:val="09622743"/>
    <w:rsid w:val="096D7D04"/>
    <w:rsid w:val="09711729"/>
    <w:rsid w:val="098205F5"/>
    <w:rsid w:val="09902FE9"/>
    <w:rsid w:val="09AC7A5A"/>
    <w:rsid w:val="09AF2C35"/>
    <w:rsid w:val="0A152358"/>
    <w:rsid w:val="0A421C06"/>
    <w:rsid w:val="0A456833"/>
    <w:rsid w:val="0A71039E"/>
    <w:rsid w:val="0A9D57A3"/>
    <w:rsid w:val="0AA2487E"/>
    <w:rsid w:val="0AD9119F"/>
    <w:rsid w:val="0B0056DA"/>
    <w:rsid w:val="0B5C2DB3"/>
    <w:rsid w:val="0B664089"/>
    <w:rsid w:val="0B666755"/>
    <w:rsid w:val="0B9362DF"/>
    <w:rsid w:val="0BBC3FAD"/>
    <w:rsid w:val="0BCF786E"/>
    <w:rsid w:val="0C0B585A"/>
    <w:rsid w:val="0C116898"/>
    <w:rsid w:val="0C1F6C93"/>
    <w:rsid w:val="0C683F0B"/>
    <w:rsid w:val="0C783B76"/>
    <w:rsid w:val="0C79253B"/>
    <w:rsid w:val="0C7927C4"/>
    <w:rsid w:val="0C911B2B"/>
    <w:rsid w:val="0CAB373F"/>
    <w:rsid w:val="0CF94109"/>
    <w:rsid w:val="0D107E7B"/>
    <w:rsid w:val="0D185287"/>
    <w:rsid w:val="0D2766C4"/>
    <w:rsid w:val="0DDB0848"/>
    <w:rsid w:val="0E0E51A9"/>
    <w:rsid w:val="0E14552A"/>
    <w:rsid w:val="0E1A36C6"/>
    <w:rsid w:val="0E336CD8"/>
    <w:rsid w:val="0E377A6B"/>
    <w:rsid w:val="0E4D3106"/>
    <w:rsid w:val="0E7616B1"/>
    <w:rsid w:val="0E8A6525"/>
    <w:rsid w:val="0E972280"/>
    <w:rsid w:val="0ED54151"/>
    <w:rsid w:val="0EDF1180"/>
    <w:rsid w:val="0EF6009B"/>
    <w:rsid w:val="0F0F6660"/>
    <w:rsid w:val="0F75504B"/>
    <w:rsid w:val="0FA923E3"/>
    <w:rsid w:val="0FB451A9"/>
    <w:rsid w:val="0FC05C73"/>
    <w:rsid w:val="101A0E45"/>
    <w:rsid w:val="10347723"/>
    <w:rsid w:val="10392996"/>
    <w:rsid w:val="103B70AE"/>
    <w:rsid w:val="10887D92"/>
    <w:rsid w:val="108C4DF2"/>
    <w:rsid w:val="1093484A"/>
    <w:rsid w:val="10BC1C89"/>
    <w:rsid w:val="1102547E"/>
    <w:rsid w:val="112812B5"/>
    <w:rsid w:val="112934B3"/>
    <w:rsid w:val="113301CC"/>
    <w:rsid w:val="113D2984"/>
    <w:rsid w:val="119612B5"/>
    <w:rsid w:val="11C314B3"/>
    <w:rsid w:val="11CB0AF9"/>
    <w:rsid w:val="11D2540D"/>
    <w:rsid w:val="121015B2"/>
    <w:rsid w:val="12686151"/>
    <w:rsid w:val="128227EB"/>
    <w:rsid w:val="12C51B43"/>
    <w:rsid w:val="12E219A1"/>
    <w:rsid w:val="12E3158A"/>
    <w:rsid w:val="13031383"/>
    <w:rsid w:val="131D07EE"/>
    <w:rsid w:val="132B7780"/>
    <w:rsid w:val="136043D7"/>
    <w:rsid w:val="13A9697F"/>
    <w:rsid w:val="13D80B9E"/>
    <w:rsid w:val="13E57956"/>
    <w:rsid w:val="13F671B7"/>
    <w:rsid w:val="141A28BF"/>
    <w:rsid w:val="146C6191"/>
    <w:rsid w:val="14C11485"/>
    <w:rsid w:val="14C87B63"/>
    <w:rsid w:val="14CE23B0"/>
    <w:rsid w:val="14E15C16"/>
    <w:rsid w:val="1527593A"/>
    <w:rsid w:val="152C1214"/>
    <w:rsid w:val="153E0863"/>
    <w:rsid w:val="157B74B9"/>
    <w:rsid w:val="158201D6"/>
    <w:rsid w:val="159B19FD"/>
    <w:rsid w:val="15A10189"/>
    <w:rsid w:val="15A93224"/>
    <w:rsid w:val="15B7232D"/>
    <w:rsid w:val="15DC6CEA"/>
    <w:rsid w:val="16196B4E"/>
    <w:rsid w:val="16341072"/>
    <w:rsid w:val="1682138E"/>
    <w:rsid w:val="16873B19"/>
    <w:rsid w:val="168A62F6"/>
    <w:rsid w:val="16933BA9"/>
    <w:rsid w:val="16996480"/>
    <w:rsid w:val="16A82F3A"/>
    <w:rsid w:val="16FB0B11"/>
    <w:rsid w:val="170A48C2"/>
    <w:rsid w:val="172020F6"/>
    <w:rsid w:val="17220B73"/>
    <w:rsid w:val="173B3C63"/>
    <w:rsid w:val="17C140C3"/>
    <w:rsid w:val="17CD3B5F"/>
    <w:rsid w:val="17EE1C78"/>
    <w:rsid w:val="184D53D9"/>
    <w:rsid w:val="18CE28C0"/>
    <w:rsid w:val="18E32865"/>
    <w:rsid w:val="18F31412"/>
    <w:rsid w:val="18F86F87"/>
    <w:rsid w:val="19A87F53"/>
    <w:rsid w:val="19B06735"/>
    <w:rsid w:val="19B802BF"/>
    <w:rsid w:val="19BE1F2F"/>
    <w:rsid w:val="19C5471F"/>
    <w:rsid w:val="19FF2BCD"/>
    <w:rsid w:val="1A3219C7"/>
    <w:rsid w:val="1A4225DF"/>
    <w:rsid w:val="1ABA0B77"/>
    <w:rsid w:val="1AE31FAA"/>
    <w:rsid w:val="1AE66DC0"/>
    <w:rsid w:val="1AEE23E0"/>
    <w:rsid w:val="1AFE1636"/>
    <w:rsid w:val="1B1501FB"/>
    <w:rsid w:val="1B3D71C1"/>
    <w:rsid w:val="1B951F76"/>
    <w:rsid w:val="1B9F4A8B"/>
    <w:rsid w:val="1BEC03A3"/>
    <w:rsid w:val="1BEE7585"/>
    <w:rsid w:val="1C1C4807"/>
    <w:rsid w:val="1C1E0621"/>
    <w:rsid w:val="1C2E7074"/>
    <w:rsid w:val="1C3773D9"/>
    <w:rsid w:val="1C490109"/>
    <w:rsid w:val="1C6A7ACF"/>
    <w:rsid w:val="1C7B007C"/>
    <w:rsid w:val="1C9722D6"/>
    <w:rsid w:val="1CA86413"/>
    <w:rsid w:val="1CBA7177"/>
    <w:rsid w:val="1CE553A0"/>
    <w:rsid w:val="1CE913FB"/>
    <w:rsid w:val="1D3D2BD1"/>
    <w:rsid w:val="1D477216"/>
    <w:rsid w:val="1D4E4364"/>
    <w:rsid w:val="1D5F5A70"/>
    <w:rsid w:val="1D613643"/>
    <w:rsid w:val="1D790CEA"/>
    <w:rsid w:val="1D7B414C"/>
    <w:rsid w:val="1D865AFB"/>
    <w:rsid w:val="1DA22BBC"/>
    <w:rsid w:val="1DCE2972"/>
    <w:rsid w:val="1DEE4316"/>
    <w:rsid w:val="1DF8338D"/>
    <w:rsid w:val="1E1435F8"/>
    <w:rsid w:val="1E372D9F"/>
    <w:rsid w:val="1E4F703F"/>
    <w:rsid w:val="1E5A0D8D"/>
    <w:rsid w:val="1E817283"/>
    <w:rsid w:val="1E913D35"/>
    <w:rsid w:val="1EA30D9E"/>
    <w:rsid w:val="1EC54C49"/>
    <w:rsid w:val="1EE14CE2"/>
    <w:rsid w:val="1EE82340"/>
    <w:rsid w:val="1EF34658"/>
    <w:rsid w:val="1F056833"/>
    <w:rsid w:val="1F104283"/>
    <w:rsid w:val="1F11772F"/>
    <w:rsid w:val="1F172D7D"/>
    <w:rsid w:val="1F6D7E3A"/>
    <w:rsid w:val="1F6E165D"/>
    <w:rsid w:val="1F71458F"/>
    <w:rsid w:val="1F9053AE"/>
    <w:rsid w:val="1FB75D16"/>
    <w:rsid w:val="1FEE3DA3"/>
    <w:rsid w:val="202513BD"/>
    <w:rsid w:val="2046687E"/>
    <w:rsid w:val="206032ED"/>
    <w:rsid w:val="2072796C"/>
    <w:rsid w:val="20763531"/>
    <w:rsid w:val="20920EFC"/>
    <w:rsid w:val="20927281"/>
    <w:rsid w:val="209E41C7"/>
    <w:rsid w:val="20C12A38"/>
    <w:rsid w:val="20D05716"/>
    <w:rsid w:val="211C7F42"/>
    <w:rsid w:val="21644AD8"/>
    <w:rsid w:val="217B431E"/>
    <w:rsid w:val="21877151"/>
    <w:rsid w:val="21C41AE4"/>
    <w:rsid w:val="21DC7C19"/>
    <w:rsid w:val="21DD349D"/>
    <w:rsid w:val="21E7182E"/>
    <w:rsid w:val="21E76F54"/>
    <w:rsid w:val="220C4202"/>
    <w:rsid w:val="222570F1"/>
    <w:rsid w:val="222D3305"/>
    <w:rsid w:val="22367999"/>
    <w:rsid w:val="22444146"/>
    <w:rsid w:val="2261436F"/>
    <w:rsid w:val="227646B1"/>
    <w:rsid w:val="228B4258"/>
    <w:rsid w:val="22B02267"/>
    <w:rsid w:val="22B97429"/>
    <w:rsid w:val="22C479DE"/>
    <w:rsid w:val="22C70A11"/>
    <w:rsid w:val="22D94639"/>
    <w:rsid w:val="233C4D5D"/>
    <w:rsid w:val="233E2A2E"/>
    <w:rsid w:val="2378543C"/>
    <w:rsid w:val="239C7BFA"/>
    <w:rsid w:val="23B76226"/>
    <w:rsid w:val="23C154DD"/>
    <w:rsid w:val="23FD0F19"/>
    <w:rsid w:val="243C7737"/>
    <w:rsid w:val="243F2E36"/>
    <w:rsid w:val="245313FA"/>
    <w:rsid w:val="2465202F"/>
    <w:rsid w:val="24A73D1F"/>
    <w:rsid w:val="24B27742"/>
    <w:rsid w:val="24BF3BA8"/>
    <w:rsid w:val="24E87F68"/>
    <w:rsid w:val="258778A8"/>
    <w:rsid w:val="25996718"/>
    <w:rsid w:val="259D158E"/>
    <w:rsid w:val="25A31DD5"/>
    <w:rsid w:val="25C852A4"/>
    <w:rsid w:val="25ED29C6"/>
    <w:rsid w:val="2617030E"/>
    <w:rsid w:val="264D28A0"/>
    <w:rsid w:val="26CA0D6F"/>
    <w:rsid w:val="26D10020"/>
    <w:rsid w:val="26DB7D22"/>
    <w:rsid w:val="26E90873"/>
    <w:rsid w:val="26F37BEC"/>
    <w:rsid w:val="27255A0A"/>
    <w:rsid w:val="273C14DC"/>
    <w:rsid w:val="27655A7F"/>
    <w:rsid w:val="27D1005E"/>
    <w:rsid w:val="27DD62E3"/>
    <w:rsid w:val="27E95370"/>
    <w:rsid w:val="28037FA1"/>
    <w:rsid w:val="28167DD4"/>
    <w:rsid w:val="281B179A"/>
    <w:rsid w:val="282D79F9"/>
    <w:rsid w:val="2857083D"/>
    <w:rsid w:val="28680AD8"/>
    <w:rsid w:val="286B015D"/>
    <w:rsid w:val="28B54148"/>
    <w:rsid w:val="28CD627E"/>
    <w:rsid w:val="28E148D3"/>
    <w:rsid w:val="28F12FBA"/>
    <w:rsid w:val="29151EF5"/>
    <w:rsid w:val="29643C83"/>
    <w:rsid w:val="29855A2C"/>
    <w:rsid w:val="299327C4"/>
    <w:rsid w:val="29A949F2"/>
    <w:rsid w:val="29C83EDE"/>
    <w:rsid w:val="29DA5136"/>
    <w:rsid w:val="2A5561C7"/>
    <w:rsid w:val="2A66059D"/>
    <w:rsid w:val="2B0A5828"/>
    <w:rsid w:val="2B142A9B"/>
    <w:rsid w:val="2B2B6A85"/>
    <w:rsid w:val="2B317502"/>
    <w:rsid w:val="2B336E05"/>
    <w:rsid w:val="2B62600A"/>
    <w:rsid w:val="2B9026CA"/>
    <w:rsid w:val="2BAA31B3"/>
    <w:rsid w:val="2BC26D9E"/>
    <w:rsid w:val="2BC90C1A"/>
    <w:rsid w:val="2BDA267D"/>
    <w:rsid w:val="2BE441D5"/>
    <w:rsid w:val="2C120DFB"/>
    <w:rsid w:val="2C470693"/>
    <w:rsid w:val="2C6E60F5"/>
    <w:rsid w:val="2C884AC9"/>
    <w:rsid w:val="2CA23BCA"/>
    <w:rsid w:val="2CBD0053"/>
    <w:rsid w:val="2CE81574"/>
    <w:rsid w:val="2D067BEC"/>
    <w:rsid w:val="2D0E1065"/>
    <w:rsid w:val="2D1D7812"/>
    <w:rsid w:val="2D2E332F"/>
    <w:rsid w:val="2D5B23AA"/>
    <w:rsid w:val="2D60068C"/>
    <w:rsid w:val="2D8E0DCA"/>
    <w:rsid w:val="2D9631B2"/>
    <w:rsid w:val="2D982987"/>
    <w:rsid w:val="2D993BEF"/>
    <w:rsid w:val="2DA354EC"/>
    <w:rsid w:val="2E222960"/>
    <w:rsid w:val="2E3F6C20"/>
    <w:rsid w:val="2E6241C8"/>
    <w:rsid w:val="2E654F44"/>
    <w:rsid w:val="2E6B569B"/>
    <w:rsid w:val="2E735BC5"/>
    <w:rsid w:val="2E754F7A"/>
    <w:rsid w:val="2E824B5A"/>
    <w:rsid w:val="2EB95433"/>
    <w:rsid w:val="2EBE07DF"/>
    <w:rsid w:val="2EC15BD9"/>
    <w:rsid w:val="2EFC6A22"/>
    <w:rsid w:val="2EFD4F49"/>
    <w:rsid w:val="2F131782"/>
    <w:rsid w:val="2F3C7955"/>
    <w:rsid w:val="2F417F0C"/>
    <w:rsid w:val="2F910C40"/>
    <w:rsid w:val="2FC126EC"/>
    <w:rsid w:val="301E7DFF"/>
    <w:rsid w:val="30244A9C"/>
    <w:rsid w:val="302F24EF"/>
    <w:rsid w:val="30410D55"/>
    <w:rsid w:val="305B1BAF"/>
    <w:rsid w:val="30D062CD"/>
    <w:rsid w:val="30D26997"/>
    <w:rsid w:val="30E56EDC"/>
    <w:rsid w:val="3100167D"/>
    <w:rsid w:val="310622FB"/>
    <w:rsid w:val="3175173C"/>
    <w:rsid w:val="31946A67"/>
    <w:rsid w:val="31B20215"/>
    <w:rsid w:val="31F67A05"/>
    <w:rsid w:val="32090944"/>
    <w:rsid w:val="32211B4E"/>
    <w:rsid w:val="322B021E"/>
    <w:rsid w:val="324D0D7D"/>
    <w:rsid w:val="32B92FC6"/>
    <w:rsid w:val="32C154AA"/>
    <w:rsid w:val="32C325DA"/>
    <w:rsid w:val="32F444EA"/>
    <w:rsid w:val="330B21B6"/>
    <w:rsid w:val="332A001D"/>
    <w:rsid w:val="33372693"/>
    <w:rsid w:val="335C27CF"/>
    <w:rsid w:val="33A21C9A"/>
    <w:rsid w:val="33F52B8E"/>
    <w:rsid w:val="34176785"/>
    <w:rsid w:val="34293C06"/>
    <w:rsid w:val="344E6FDD"/>
    <w:rsid w:val="34565015"/>
    <w:rsid w:val="34565D9D"/>
    <w:rsid w:val="34881F3C"/>
    <w:rsid w:val="34A30F0E"/>
    <w:rsid w:val="34B124FF"/>
    <w:rsid w:val="34C47118"/>
    <w:rsid w:val="34E875C7"/>
    <w:rsid w:val="35137922"/>
    <w:rsid w:val="353A2B45"/>
    <w:rsid w:val="35455B73"/>
    <w:rsid w:val="35847960"/>
    <w:rsid w:val="35893863"/>
    <w:rsid w:val="35CB12B3"/>
    <w:rsid w:val="361C0AFD"/>
    <w:rsid w:val="363A185F"/>
    <w:rsid w:val="363B563B"/>
    <w:rsid w:val="363D783F"/>
    <w:rsid w:val="364D6A4A"/>
    <w:rsid w:val="36667F4C"/>
    <w:rsid w:val="366C0D41"/>
    <w:rsid w:val="366D2A86"/>
    <w:rsid w:val="36742808"/>
    <w:rsid w:val="367A5F70"/>
    <w:rsid w:val="36824B9C"/>
    <w:rsid w:val="36832FFC"/>
    <w:rsid w:val="3692436C"/>
    <w:rsid w:val="369C735A"/>
    <w:rsid w:val="36C54F61"/>
    <w:rsid w:val="36EA771D"/>
    <w:rsid w:val="36FA64BE"/>
    <w:rsid w:val="36FD79CA"/>
    <w:rsid w:val="37381826"/>
    <w:rsid w:val="374643BF"/>
    <w:rsid w:val="37476E6B"/>
    <w:rsid w:val="378828AA"/>
    <w:rsid w:val="378F5548"/>
    <w:rsid w:val="37977271"/>
    <w:rsid w:val="37987437"/>
    <w:rsid w:val="37D646E1"/>
    <w:rsid w:val="381B3F7A"/>
    <w:rsid w:val="3831783F"/>
    <w:rsid w:val="383D10D3"/>
    <w:rsid w:val="386A0C9E"/>
    <w:rsid w:val="38847E92"/>
    <w:rsid w:val="389152DA"/>
    <w:rsid w:val="38C83236"/>
    <w:rsid w:val="38DE53D9"/>
    <w:rsid w:val="390B6CEE"/>
    <w:rsid w:val="39336168"/>
    <w:rsid w:val="39484E09"/>
    <w:rsid w:val="394E45C5"/>
    <w:rsid w:val="39D46BEB"/>
    <w:rsid w:val="3A2669F5"/>
    <w:rsid w:val="3A3C74B4"/>
    <w:rsid w:val="3A3E27D3"/>
    <w:rsid w:val="3A425CFB"/>
    <w:rsid w:val="3A5F79E6"/>
    <w:rsid w:val="3A6D2B2C"/>
    <w:rsid w:val="3A7E52C6"/>
    <w:rsid w:val="3AB81953"/>
    <w:rsid w:val="3ABB4CF7"/>
    <w:rsid w:val="3AD02804"/>
    <w:rsid w:val="3AEF3EC0"/>
    <w:rsid w:val="3AF86D4E"/>
    <w:rsid w:val="3B0A3060"/>
    <w:rsid w:val="3B3D2A1F"/>
    <w:rsid w:val="3B7D5180"/>
    <w:rsid w:val="3B846B7A"/>
    <w:rsid w:val="3B993054"/>
    <w:rsid w:val="3BB85B07"/>
    <w:rsid w:val="3BC44F5A"/>
    <w:rsid w:val="3BF5376E"/>
    <w:rsid w:val="3C2B322B"/>
    <w:rsid w:val="3C5B3C6B"/>
    <w:rsid w:val="3C65652D"/>
    <w:rsid w:val="3C9237E9"/>
    <w:rsid w:val="3C946BEB"/>
    <w:rsid w:val="3CA00F52"/>
    <w:rsid w:val="3CA75790"/>
    <w:rsid w:val="3CED5A3B"/>
    <w:rsid w:val="3CFC7847"/>
    <w:rsid w:val="3CFF5E1E"/>
    <w:rsid w:val="3D3B0DDF"/>
    <w:rsid w:val="3D5B0A23"/>
    <w:rsid w:val="3D870F02"/>
    <w:rsid w:val="3E120265"/>
    <w:rsid w:val="3E1B314F"/>
    <w:rsid w:val="3E2D23D6"/>
    <w:rsid w:val="3E3F6CCA"/>
    <w:rsid w:val="3E546A69"/>
    <w:rsid w:val="3E6135F4"/>
    <w:rsid w:val="3E932D12"/>
    <w:rsid w:val="3E956359"/>
    <w:rsid w:val="3E987ECE"/>
    <w:rsid w:val="3EA70758"/>
    <w:rsid w:val="3EFC5C64"/>
    <w:rsid w:val="3F1049E5"/>
    <w:rsid w:val="3F246731"/>
    <w:rsid w:val="3F3B4945"/>
    <w:rsid w:val="3F433E5A"/>
    <w:rsid w:val="3F767B2C"/>
    <w:rsid w:val="3F9C4E89"/>
    <w:rsid w:val="40061999"/>
    <w:rsid w:val="40547059"/>
    <w:rsid w:val="405902C6"/>
    <w:rsid w:val="406C6770"/>
    <w:rsid w:val="40CF0E06"/>
    <w:rsid w:val="40D04955"/>
    <w:rsid w:val="412052B3"/>
    <w:rsid w:val="414C3236"/>
    <w:rsid w:val="414F2C77"/>
    <w:rsid w:val="416A1261"/>
    <w:rsid w:val="41BF069E"/>
    <w:rsid w:val="41C377ED"/>
    <w:rsid w:val="41C52874"/>
    <w:rsid w:val="41D279BE"/>
    <w:rsid w:val="422F5266"/>
    <w:rsid w:val="423F253E"/>
    <w:rsid w:val="424E080B"/>
    <w:rsid w:val="42570A10"/>
    <w:rsid w:val="42784EFA"/>
    <w:rsid w:val="42920CC3"/>
    <w:rsid w:val="42A2549A"/>
    <w:rsid w:val="42C6635A"/>
    <w:rsid w:val="42CD0EA8"/>
    <w:rsid w:val="42DE6BC4"/>
    <w:rsid w:val="42FE1677"/>
    <w:rsid w:val="430345BA"/>
    <w:rsid w:val="433A5C59"/>
    <w:rsid w:val="43423065"/>
    <w:rsid w:val="437B6298"/>
    <w:rsid w:val="438F08E9"/>
    <w:rsid w:val="43907AAB"/>
    <w:rsid w:val="43D17004"/>
    <w:rsid w:val="43DA5C5F"/>
    <w:rsid w:val="43E23A8B"/>
    <w:rsid w:val="44293FF9"/>
    <w:rsid w:val="446C6A68"/>
    <w:rsid w:val="44706517"/>
    <w:rsid w:val="45011D41"/>
    <w:rsid w:val="4503405A"/>
    <w:rsid w:val="452E518F"/>
    <w:rsid w:val="4545681E"/>
    <w:rsid w:val="454702B7"/>
    <w:rsid w:val="455C2158"/>
    <w:rsid w:val="45651A65"/>
    <w:rsid w:val="456E0EE9"/>
    <w:rsid w:val="45757B02"/>
    <w:rsid w:val="45836413"/>
    <w:rsid w:val="45B32E6A"/>
    <w:rsid w:val="461807D7"/>
    <w:rsid w:val="46233A93"/>
    <w:rsid w:val="463065F6"/>
    <w:rsid w:val="46423A3B"/>
    <w:rsid w:val="465164CD"/>
    <w:rsid w:val="465700F4"/>
    <w:rsid w:val="465B35B4"/>
    <w:rsid w:val="468A764A"/>
    <w:rsid w:val="4691544D"/>
    <w:rsid w:val="46AF5BCE"/>
    <w:rsid w:val="46BE5447"/>
    <w:rsid w:val="46C4751C"/>
    <w:rsid w:val="46E44EC7"/>
    <w:rsid w:val="46E56A5F"/>
    <w:rsid w:val="46FA33B2"/>
    <w:rsid w:val="46FE3D85"/>
    <w:rsid w:val="475E02E8"/>
    <w:rsid w:val="47624569"/>
    <w:rsid w:val="478168DD"/>
    <w:rsid w:val="479E3C8F"/>
    <w:rsid w:val="47B408FD"/>
    <w:rsid w:val="47C812A9"/>
    <w:rsid w:val="47DD439D"/>
    <w:rsid w:val="47F4486C"/>
    <w:rsid w:val="48020130"/>
    <w:rsid w:val="480B6841"/>
    <w:rsid w:val="480F7417"/>
    <w:rsid w:val="48242B78"/>
    <w:rsid w:val="48630809"/>
    <w:rsid w:val="4868266F"/>
    <w:rsid w:val="4951655A"/>
    <w:rsid w:val="497C541E"/>
    <w:rsid w:val="499253C3"/>
    <w:rsid w:val="49B764FC"/>
    <w:rsid w:val="49DF4EBA"/>
    <w:rsid w:val="49E41279"/>
    <w:rsid w:val="49E573CC"/>
    <w:rsid w:val="4A397DC3"/>
    <w:rsid w:val="4A5C53CA"/>
    <w:rsid w:val="4A6E7363"/>
    <w:rsid w:val="4A9174E4"/>
    <w:rsid w:val="4AC16C04"/>
    <w:rsid w:val="4AD239F8"/>
    <w:rsid w:val="4AE20C46"/>
    <w:rsid w:val="4B102B0C"/>
    <w:rsid w:val="4B3A6678"/>
    <w:rsid w:val="4B4E311B"/>
    <w:rsid w:val="4B66090B"/>
    <w:rsid w:val="4B6C26CB"/>
    <w:rsid w:val="4B6E176F"/>
    <w:rsid w:val="4BBD33CE"/>
    <w:rsid w:val="4BCC13F5"/>
    <w:rsid w:val="4BFD5D8E"/>
    <w:rsid w:val="4C017B05"/>
    <w:rsid w:val="4C3B0AD8"/>
    <w:rsid w:val="4C5A4CC2"/>
    <w:rsid w:val="4C5F15AB"/>
    <w:rsid w:val="4C7A5BF9"/>
    <w:rsid w:val="4C927A4A"/>
    <w:rsid w:val="4C982217"/>
    <w:rsid w:val="4CB5540A"/>
    <w:rsid w:val="4CBE53F2"/>
    <w:rsid w:val="4CE75EF6"/>
    <w:rsid w:val="4CED3AC0"/>
    <w:rsid w:val="4CF14931"/>
    <w:rsid w:val="4CF93156"/>
    <w:rsid w:val="4CFF5CF5"/>
    <w:rsid w:val="4D0E72AE"/>
    <w:rsid w:val="4D143D6E"/>
    <w:rsid w:val="4D1E2546"/>
    <w:rsid w:val="4D3E4E5A"/>
    <w:rsid w:val="4D3F3CC3"/>
    <w:rsid w:val="4D517068"/>
    <w:rsid w:val="4D665D11"/>
    <w:rsid w:val="4D895D66"/>
    <w:rsid w:val="4DAC36AC"/>
    <w:rsid w:val="4DB248F6"/>
    <w:rsid w:val="4DD61FCC"/>
    <w:rsid w:val="4DE904E0"/>
    <w:rsid w:val="4DF1057D"/>
    <w:rsid w:val="4E141DF1"/>
    <w:rsid w:val="4E370378"/>
    <w:rsid w:val="4E732BD8"/>
    <w:rsid w:val="4E782B03"/>
    <w:rsid w:val="4E7943DC"/>
    <w:rsid w:val="4E847C71"/>
    <w:rsid w:val="4EBB0839"/>
    <w:rsid w:val="4EDA5C7C"/>
    <w:rsid w:val="4EE05B1D"/>
    <w:rsid w:val="4F13254C"/>
    <w:rsid w:val="4F3B1580"/>
    <w:rsid w:val="4F537AB2"/>
    <w:rsid w:val="4F58603C"/>
    <w:rsid w:val="4F5D6686"/>
    <w:rsid w:val="4F620E30"/>
    <w:rsid w:val="4F624EF6"/>
    <w:rsid w:val="4F637D4D"/>
    <w:rsid w:val="4F8E345D"/>
    <w:rsid w:val="4F990227"/>
    <w:rsid w:val="4FB52C12"/>
    <w:rsid w:val="4FE52F42"/>
    <w:rsid w:val="504323CD"/>
    <w:rsid w:val="5059155E"/>
    <w:rsid w:val="506875FB"/>
    <w:rsid w:val="50A16CA6"/>
    <w:rsid w:val="50A83F1D"/>
    <w:rsid w:val="50B26D75"/>
    <w:rsid w:val="50D137D5"/>
    <w:rsid w:val="50D73FF0"/>
    <w:rsid w:val="50D80413"/>
    <w:rsid w:val="514327E1"/>
    <w:rsid w:val="51571AC4"/>
    <w:rsid w:val="51647E65"/>
    <w:rsid w:val="517E7101"/>
    <w:rsid w:val="51935A63"/>
    <w:rsid w:val="51C13FBE"/>
    <w:rsid w:val="51C752AD"/>
    <w:rsid w:val="51CD260D"/>
    <w:rsid w:val="51DD32B1"/>
    <w:rsid w:val="521220F6"/>
    <w:rsid w:val="52400C67"/>
    <w:rsid w:val="524336DF"/>
    <w:rsid w:val="526B5AC6"/>
    <w:rsid w:val="526E43A0"/>
    <w:rsid w:val="52750905"/>
    <w:rsid w:val="52A336A2"/>
    <w:rsid w:val="52AB0798"/>
    <w:rsid w:val="52CA226C"/>
    <w:rsid w:val="52CC7522"/>
    <w:rsid w:val="52F8589F"/>
    <w:rsid w:val="52FD3EE8"/>
    <w:rsid w:val="53502E56"/>
    <w:rsid w:val="53516761"/>
    <w:rsid w:val="536454E8"/>
    <w:rsid w:val="53852110"/>
    <w:rsid w:val="538606D4"/>
    <w:rsid w:val="539359BE"/>
    <w:rsid w:val="53B85210"/>
    <w:rsid w:val="53EC0FAF"/>
    <w:rsid w:val="54096E8C"/>
    <w:rsid w:val="54234E18"/>
    <w:rsid w:val="542D727D"/>
    <w:rsid w:val="5435510F"/>
    <w:rsid w:val="54D648BB"/>
    <w:rsid w:val="54D920AE"/>
    <w:rsid w:val="54DF2FCC"/>
    <w:rsid w:val="54F80627"/>
    <w:rsid w:val="55362C2B"/>
    <w:rsid w:val="55404A70"/>
    <w:rsid w:val="55583B90"/>
    <w:rsid w:val="555E131C"/>
    <w:rsid w:val="557E616E"/>
    <w:rsid w:val="559519E9"/>
    <w:rsid w:val="55A21A11"/>
    <w:rsid w:val="55A53C8F"/>
    <w:rsid w:val="55C51FC5"/>
    <w:rsid w:val="55F0785B"/>
    <w:rsid w:val="560F1140"/>
    <w:rsid w:val="56141D44"/>
    <w:rsid w:val="56206E5C"/>
    <w:rsid w:val="564A221E"/>
    <w:rsid w:val="5678070D"/>
    <w:rsid w:val="56862083"/>
    <w:rsid w:val="56B37C4E"/>
    <w:rsid w:val="56D57C04"/>
    <w:rsid w:val="56E968A5"/>
    <w:rsid w:val="56F20E16"/>
    <w:rsid w:val="57000432"/>
    <w:rsid w:val="57563306"/>
    <w:rsid w:val="577C1CAD"/>
    <w:rsid w:val="57844A61"/>
    <w:rsid w:val="57A046B8"/>
    <w:rsid w:val="57B04FE9"/>
    <w:rsid w:val="57FD096B"/>
    <w:rsid w:val="58124E7E"/>
    <w:rsid w:val="5825082B"/>
    <w:rsid w:val="58435145"/>
    <w:rsid w:val="587971CE"/>
    <w:rsid w:val="588D4B10"/>
    <w:rsid w:val="58ED1D77"/>
    <w:rsid w:val="590E18ED"/>
    <w:rsid w:val="593D12F7"/>
    <w:rsid w:val="59617E35"/>
    <w:rsid w:val="5992513B"/>
    <w:rsid w:val="59941D06"/>
    <w:rsid w:val="59981AA8"/>
    <w:rsid w:val="59A01B41"/>
    <w:rsid w:val="59A15799"/>
    <w:rsid w:val="59B54690"/>
    <w:rsid w:val="59B660FE"/>
    <w:rsid w:val="59DE2648"/>
    <w:rsid w:val="59ED7002"/>
    <w:rsid w:val="5A1F3552"/>
    <w:rsid w:val="5A76552B"/>
    <w:rsid w:val="5AB81CD6"/>
    <w:rsid w:val="5AC02D0D"/>
    <w:rsid w:val="5ACE15D8"/>
    <w:rsid w:val="5AF64A35"/>
    <w:rsid w:val="5B24753E"/>
    <w:rsid w:val="5B6836FC"/>
    <w:rsid w:val="5B933DD4"/>
    <w:rsid w:val="5BBB130B"/>
    <w:rsid w:val="5BDF6048"/>
    <w:rsid w:val="5BE9161E"/>
    <w:rsid w:val="5BFA0755"/>
    <w:rsid w:val="5C3777A0"/>
    <w:rsid w:val="5C5D6756"/>
    <w:rsid w:val="5C6723D0"/>
    <w:rsid w:val="5C702A5B"/>
    <w:rsid w:val="5CAE7162"/>
    <w:rsid w:val="5CE323F2"/>
    <w:rsid w:val="5CEB19FD"/>
    <w:rsid w:val="5D0C25DA"/>
    <w:rsid w:val="5D346490"/>
    <w:rsid w:val="5D556163"/>
    <w:rsid w:val="5D7D47EF"/>
    <w:rsid w:val="5D813AEB"/>
    <w:rsid w:val="5D982259"/>
    <w:rsid w:val="5D9B7838"/>
    <w:rsid w:val="5DB75574"/>
    <w:rsid w:val="5DB91FED"/>
    <w:rsid w:val="5DE70783"/>
    <w:rsid w:val="5E097C56"/>
    <w:rsid w:val="5E96130D"/>
    <w:rsid w:val="5EA5347A"/>
    <w:rsid w:val="5EAC2CE3"/>
    <w:rsid w:val="5EBC4145"/>
    <w:rsid w:val="5EC1455A"/>
    <w:rsid w:val="5ED837A7"/>
    <w:rsid w:val="5EE769F3"/>
    <w:rsid w:val="5F332BBC"/>
    <w:rsid w:val="5F3715C2"/>
    <w:rsid w:val="5F3B5A4A"/>
    <w:rsid w:val="5F442401"/>
    <w:rsid w:val="5F6419DC"/>
    <w:rsid w:val="5F6D4A22"/>
    <w:rsid w:val="5F6F7CA1"/>
    <w:rsid w:val="5F880A48"/>
    <w:rsid w:val="5FDC3E85"/>
    <w:rsid w:val="601F5526"/>
    <w:rsid w:val="603944E1"/>
    <w:rsid w:val="604E4367"/>
    <w:rsid w:val="60595747"/>
    <w:rsid w:val="6063466C"/>
    <w:rsid w:val="60661CB4"/>
    <w:rsid w:val="60766139"/>
    <w:rsid w:val="608049EB"/>
    <w:rsid w:val="60812F71"/>
    <w:rsid w:val="609A6C8B"/>
    <w:rsid w:val="60CA5C5B"/>
    <w:rsid w:val="60E40384"/>
    <w:rsid w:val="60EB69F2"/>
    <w:rsid w:val="613418ED"/>
    <w:rsid w:val="6136552E"/>
    <w:rsid w:val="613A0D93"/>
    <w:rsid w:val="61610105"/>
    <w:rsid w:val="618A4767"/>
    <w:rsid w:val="61954924"/>
    <w:rsid w:val="619A1555"/>
    <w:rsid w:val="61F3273F"/>
    <w:rsid w:val="620826E5"/>
    <w:rsid w:val="620D4D2A"/>
    <w:rsid w:val="62176BD9"/>
    <w:rsid w:val="62250781"/>
    <w:rsid w:val="62356ACE"/>
    <w:rsid w:val="62486BCC"/>
    <w:rsid w:val="629E602C"/>
    <w:rsid w:val="62B6741A"/>
    <w:rsid w:val="62BB1F75"/>
    <w:rsid w:val="630B0025"/>
    <w:rsid w:val="632366B5"/>
    <w:rsid w:val="63302147"/>
    <w:rsid w:val="636B6AA9"/>
    <w:rsid w:val="638A3ADA"/>
    <w:rsid w:val="63BC45E5"/>
    <w:rsid w:val="63BE46AF"/>
    <w:rsid w:val="63FD3F03"/>
    <w:rsid w:val="642104F5"/>
    <w:rsid w:val="64276DF4"/>
    <w:rsid w:val="647A0E64"/>
    <w:rsid w:val="64803619"/>
    <w:rsid w:val="648E5907"/>
    <w:rsid w:val="64A010A4"/>
    <w:rsid w:val="64DA0DDE"/>
    <w:rsid w:val="651F307E"/>
    <w:rsid w:val="653603C7"/>
    <w:rsid w:val="65703D66"/>
    <w:rsid w:val="657C502B"/>
    <w:rsid w:val="657E127B"/>
    <w:rsid w:val="65953340"/>
    <w:rsid w:val="65E90142"/>
    <w:rsid w:val="662616A0"/>
    <w:rsid w:val="66284C66"/>
    <w:rsid w:val="6648015B"/>
    <w:rsid w:val="664C0236"/>
    <w:rsid w:val="667F5FA5"/>
    <w:rsid w:val="66B5634D"/>
    <w:rsid w:val="66D505DD"/>
    <w:rsid w:val="66DD77F7"/>
    <w:rsid w:val="676F59BF"/>
    <w:rsid w:val="679A6900"/>
    <w:rsid w:val="67E32102"/>
    <w:rsid w:val="67EE5056"/>
    <w:rsid w:val="67FF3017"/>
    <w:rsid w:val="68033CB4"/>
    <w:rsid w:val="681A70CF"/>
    <w:rsid w:val="68470C85"/>
    <w:rsid w:val="6867649D"/>
    <w:rsid w:val="688B0763"/>
    <w:rsid w:val="68A1390E"/>
    <w:rsid w:val="68CA01FA"/>
    <w:rsid w:val="69366D06"/>
    <w:rsid w:val="69434640"/>
    <w:rsid w:val="694542C0"/>
    <w:rsid w:val="69504A01"/>
    <w:rsid w:val="69760313"/>
    <w:rsid w:val="69873F06"/>
    <w:rsid w:val="69D37795"/>
    <w:rsid w:val="69DA57C5"/>
    <w:rsid w:val="69F3315F"/>
    <w:rsid w:val="6A0A6494"/>
    <w:rsid w:val="6A2007AB"/>
    <w:rsid w:val="6A3C0A16"/>
    <w:rsid w:val="6A40330A"/>
    <w:rsid w:val="6A7428DF"/>
    <w:rsid w:val="6AE933C5"/>
    <w:rsid w:val="6AF30294"/>
    <w:rsid w:val="6B161F4B"/>
    <w:rsid w:val="6B3E2A69"/>
    <w:rsid w:val="6B434100"/>
    <w:rsid w:val="6B456D52"/>
    <w:rsid w:val="6B663041"/>
    <w:rsid w:val="6B7A7E54"/>
    <w:rsid w:val="6BC03116"/>
    <w:rsid w:val="6BCD11D7"/>
    <w:rsid w:val="6BE100EB"/>
    <w:rsid w:val="6BF37D4B"/>
    <w:rsid w:val="6C132A6D"/>
    <w:rsid w:val="6C3C0BA8"/>
    <w:rsid w:val="6C4C58BD"/>
    <w:rsid w:val="6C901D4E"/>
    <w:rsid w:val="6CBF6AF6"/>
    <w:rsid w:val="6CC87405"/>
    <w:rsid w:val="6CE91505"/>
    <w:rsid w:val="6CED3A62"/>
    <w:rsid w:val="6CF255B7"/>
    <w:rsid w:val="6D034A65"/>
    <w:rsid w:val="6D0475EA"/>
    <w:rsid w:val="6D342338"/>
    <w:rsid w:val="6D3A1CC2"/>
    <w:rsid w:val="6DA322E1"/>
    <w:rsid w:val="6DB30687"/>
    <w:rsid w:val="6E0509D7"/>
    <w:rsid w:val="6E055466"/>
    <w:rsid w:val="6E170CD7"/>
    <w:rsid w:val="6E3C13F9"/>
    <w:rsid w:val="6E452C57"/>
    <w:rsid w:val="6E605061"/>
    <w:rsid w:val="6E8F6D71"/>
    <w:rsid w:val="6EAB2E1E"/>
    <w:rsid w:val="6EBC7AD2"/>
    <w:rsid w:val="6EF31CFB"/>
    <w:rsid w:val="6F080FB9"/>
    <w:rsid w:val="6F51652A"/>
    <w:rsid w:val="6F726EC6"/>
    <w:rsid w:val="6F7C5EF4"/>
    <w:rsid w:val="6F997223"/>
    <w:rsid w:val="6FB045F0"/>
    <w:rsid w:val="6FD85E0E"/>
    <w:rsid w:val="6FF56FA9"/>
    <w:rsid w:val="6FFF2715"/>
    <w:rsid w:val="70124ED7"/>
    <w:rsid w:val="706C2B4D"/>
    <w:rsid w:val="708E7E5A"/>
    <w:rsid w:val="709631B3"/>
    <w:rsid w:val="70971E04"/>
    <w:rsid w:val="70D63257"/>
    <w:rsid w:val="70F521A3"/>
    <w:rsid w:val="710B7F28"/>
    <w:rsid w:val="711C142C"/>
    <w:rsid w:val="71224B2C"/>
    <w:rsid w:val="713F2DD7"/>
    <w:rsid w:val="716E41BB"/>
    <w:rsid w:val="71B5409B"/>
    <w:rsid w:val="71F60387"/>
    <w:rsid w:val="722978DD"/>
    <w:rsid w:val="723423EA"/>
    <w:rsid w:val="72422A05"/>
    <w:rsid w:val="72453989"/>
    <w:rsid w:val="726D59D0"/>
    <w:rsid w:val="72905049"/>
    <w:rsid w:val="72CB2869"/>
    <w:rsid w:val="72F94009"/>
    <w:rsid w:val="73025524"/>
    <w:rsid w:val="73576115"/>
    <w:rsid w:val="73DE2E4B"/>
    <w:rsid w:val="74196D88"/>
    <w:rsid w:val="745436E9"/>
    <w:rsid w:val="748C30D6"/>
    <w:rsid w:val="74910F72"/>
    <w:rsid w:val="754C1604"/>
    <w:rsid w:val="755F4EA1"/>
    <w:rsid w:val="75D5701F"/>
    <w:rsid w:val="75DD08F5"/>
    <w:rsid w:val="760442A1"/>
    <w:rsid w:val="76313BC2"/>
    <w:rsid w:val="763A5BE5"/>
    <w:rsid w:val="765C149A"/>
    <w:rsid w:val="76B16F6E"/>
    <w:rsid w:val="76C26CE6"/>
    <w:rsid w:val="76CC3D72"/>
    <w:rsid w:val="76D214FF"/>
    <w:rsid w:val="76DA7A97"/>
    <w:rsid w:val="77003E52"/>
    <w:rsid w:val="77381796"/>
    <w:rsid w:val="77511142"/>
    <w:rsid w:val="77583DB8"/>
    <w:rsid w:val="77881F27"/>
    <w:rsid w:val="779D14EF"/>
    <w:rsid w:val="77B37A4A"/>
    <w:rsid w:val="77C62480"/>
    <w:rsid w:val="77F374B5"/>
    <w:rsid w:val="785D0388"/>
    <w:rsid w:val="78787CEC"/>
    <w:rsid w:val="7892370F"/>
    <w:rsid w:val="78C47730"/>
    <w:rsid w:val="78CE0040"/>
    <w:rsid w:val="78D51BC9"/>
    <w:rsid w:val="78F470C8"/>
    <w:rsid w:val="78F544DF"/>
    <w:rsid w:val="78F57EFF"/>
    <w:rsid w:val="78F73E07"/>
    <w:rsid w:val="790D1AE5"/>
    <w:rsid w:val="79376225"/>
    <w:rsid w:val="795E34D3"/>
    <w:rsid w:val="796D46C6"/>
    <w:rsid w:val="79A35F22"/>
    <w:rsid w:val="79EE5F19"/>
    <w:rsid w:val="79FE686B"/>
    <w:rsid w:val="7A140357"/>
    <w:rsid w:val="7A6B3C9D"/>
    <w:rsid w:val="7A723ABF"/>
    <w:rsid w:val="7A9D64D7"/>
    <w:rsid w:val="7AB37EE9"/>
    <w:rsid w:val="7AED006A"/>
    <w:rsid w:val="7B01255E"/>
    <w:rsid w:val="7B1B4E61"/>
    <w:rsid w:val="7B613181"/>
    <w:rsid w:val="7BC13896"/>
    <w:rsid w:val="7BCA1FA7"/>
    <w:rsid w:val="7BD94624"/>
    <w:rsid w:val="7BDF7740"/>
    <w:rsid w:val="7C1E7A0C"/>
    <w:rsid w:val="7C3228D0"/>
    <w:rsid w:val="7C3841E7"/>
    <w:rsid w:val="7C5809F2"/>
    <w:rsid w:val="7C9B0E35"/>
    <w:rsid w:val="7C9F1959"/>
    <w:rsid w:val="7CAF1A18"/>
    <w:rsid w:val="7CBC0009"/>
    <w:rsid w:val="7CBD49A9"/>
    <w:rsid w:val="7D0A6AAF"/>
    <w:rsid w:val="7D0D1339"/>
    <w:rsid w:val="7D171C49"/>
    <w:rsid w:val="7D273647"/>
    <w:rsid w:val="7D3127F3"/>
    <w:rsid w:val="7D504145"/>
    <w:rsid w:val="7D7659DE"/>
    <w:rsid w:val="7DC64D97"/>
    <w:rsid w:val="7DD37FDD"/>
    <w:rsid w:val="7DF97F13"/>
    <w:rsid w:val="7E1F5E31"/>
    <w:rsid w:val="7E3215D2"/>
    <w:rsid w:val="7E4E5655"/>
    <w:rsid w:val="7E5915A3"/>
    <w:rsid w:val="7E7818D1"/>
    <w:rsid w:val="7E7C4C45"/>
    <w:rsid w:val="7E822A6A"/>
    <w:rsid w:val="7E9A34B4"/>
    <w:rsid w:val="7EA90D5A"/>
    <w:rsid w:val="7EC474A0"/>
    <w:rsid w:val="7EF16320"/>
    <w:rsid w:val="7EF66C5B"/>
    <w:rsid w:val="7F235D7F"/>
    <w:rsid w:val="7F32291E"/>
    <w:rsid w:val="7F4A2B06"/>
    <w:rsid w:val="7F62060E"/>
    <w:rsid w:val="7F950052"/>
    <w:rsid w:val="7FA37A30"/>
    <w:rsid w:val="7FC14AF5"/>
    <w:rsid w:val="7FC37683"/>
    <w:rsid w:val="7FC83465"/>
    <w:rsid w:val="7FD178C3"/>
    <w:rsid w:val="7FD563E7"/>
    <w:rsid w:val="7FE21CA4"/>
    <w:rsid w:val="7FE377DD"/>
    <w:rsid w:val="7FE91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99"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link w:val="30"/>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6"/>
    <w:semiHidden/>
    <w:unhideWhenUsed/>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autoSpaceDE w:val="0"/>
      <w:autoSpaceDN w:val="0"/>
      <w:jc w:val="left"/>
    </w:pPr>
    <w:rPr>
      <w:rFonts w:ascii="Noto Sans Mono CJK JP Bold" w:hAnsi="Noto Sans Mono CJK JP Bold" w:eastAsia="Noto Sans Mono CJK JP Bold" w:cs="Noto Sans Mono CJK JP Bold"/>
      <w:kern w:val="0"/>
      <w:sz w:val="30"/>
      <w:szCs w:val="30"/>
    </w:rPr>
  </w:style>
  <w:style w:type="paragraph" w:styleId="6">
    <w:name w:val="annotation text"/>
    <w:basedOn w:val="1"/>
    <w:link w:val="24"/>
    <w:qFormat/>
    <w:uiPriority w:val="0"/>
    <w:pPr>
      <w:jc w:val="left"/>
    </w:pPr>
  </w:style>
  <w:style w:type="paragraph" w:styleId="7">
    <w:name w:val="Body Text Indent"/>
    <w:basedOn w:val="1"/>
    <w:link w:val="39"/>
    <w:semiHidden/>
    <w:unhideWhenUsed/>
    <w:qFormat/>
    <w:uiPriority w:val="99"/>
    <w:pPr>
      <w:spacing w:after="120"/>
      <w:ind w:left="420" w:leftChars="200"/>
    </w:pPr>
  </w:style>
  <w:style w:type="paragraph" w:styleId="8">
    <w:name w:val="Balloon Text"/>
    <w:basedOn w:val="1"/>
    <w:link w:val="23"/>
    <w:qFormat/>
    <w:uiPriority w:val="0"/>
    <w:rPr>
      <w:sz w:val="18"/>
      <w:szCs w:val="18"/>
    </w:rPr>
  </w:style>
  <w:style w:type="paragraph" w:styleId="9">
    <w:name w:val="footer"/>
    <w:basedOn w:val="1"/>
    <w:link w:val="32"/>
    <w:qFormat/>
    <w:uiPriority w:val="0"/>
    <w:pPr>
      <w:tabs>
        <w:tab w:val="center" w:pos="4153"/>
        <w:tab w:val="right" w:pos="8306"/>
      </w:tabs>
      <w:snapToGrid w:val="0"/>
      <w:jc w:val="left"/>
    </w:pPr>
    <w:rPr>
      <w:sz w:val="18"/>
    </w:rPr>
  </w:style>
  <w:style w:type="paragraph" w:styleId="10">
    <w:name w:val="header"/>
    <w:basedOn w:val="1"/>
    <w:link w:val="3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footnote text"/>
    <w:basedOn w:val="1"/>
    <w:link w:val="34"/>
    <w:semiHidden/>
    <w:unhideWhenUsed/>
    <w:qFormat/>
    <w:uiPriority w:val="0"/>
    <w:pPr>
      <w:snapToGrid w:val="0"/>
      <w:jc w:val="left"/>
    </w:pPr>
    <w:rPr>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color w:val="000000"/>
      <w:kern w:val="0"/>
      <w:sz w:val="24"/>
    </w:rPr>
  </w:style>
  <w:style w:type="paragraph" w:styleId="13">
    <w:name w:val="annotation subject"/>
    <w:basedOn w:val="6"/>
    <w:next w:val="6"/>
    <w:link w:val="25"/>
    <w:qFormat/>
    <w:uiPriority w:val="0"/>
    <w:rPr>
      <w:b/>
      <w:bCs/>
    </w:rPr>
  </w:style>
  <w:style w:type="paragraph" w:styleId="14">
    <w:name w:val="Body Text First Indent 2"/>
    <w:basedOn w:val="1"/>
    <w:unhideWhenUsed/>
    <w:qFormat/>
    <w:uiPriority w:val="99"/>
    <w:pPr>
      <w:ind w:firstLine="420" w:firstLineChars="200"/>
    </w:pPr>
  </w:style>
  <w:style w:type="table" w:styleId="1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8">
    <w:name w:val="Strong"/>
    <w:basedOn w:val="17"/>
    <w:qFormat/>
    <w:uiPriority w:val="0"/>
    <w:rPr>
      <w:b/>
    </w:rPr>
  </w:style>
  <w:style w:type="character" w:styleId="19">
    <w:name w:val="page number"/>
    <w:qFormat/>
    <w:uiPriority w:val="0"/>
  </w:style>
  <w:style w:type="character" w:styleId="20">
    <w:name w:val="Emphasis"/>
    <w:basedOn w:val="17"/>
    <w:qFormat/>
    <w:uiPriority w:val="0"/>
    <w:rPr>
      <w:i/>
    </w:rPr>
  </w:style>
  <w:style w:type="character" w:styleId="21">
    <w:name w:val="annotation reference"/>
    <w:basedOn w:val="17"/>
    <w:qFormat/>
    <w:uiPriority w:val="0"/>
    <w:rPr>
      <w:sz w:val="21"/>
      <w:szCs w:val="21"/>
    </w:rPr>
  </w:style>
  <w:style w:type="character" w:styleId="22">
    <w:name w:val="footnote reference"/>
    <w:basedOn w:val="17"/>
    <w:semiHidden/>
    <w:unhideWhenUsed/>
    <w:qFormat/>
    <w:uiPriority w:val="0"/>
    <w:rPr>
      <w:vertAlign w:val="superscript"/>
    </w:rPr>
  </w:style>
  <w:style w:type="character" w:customStyle="1" w:styleId="23">
    <w:name w:val="批注框文本 Char"/>
    <w:basedOn w:val="17"/>
    <w:link w:val="8"/>
    <w:qFormat/>
    <w:uiPriority w:val="0"/>
    <w:rPr>
      <w:rFonts w:asciiTheme="minorHAnsi" w:hAnsiTheme="minorHAnsi" w:eastAsiaTheme="minorEastAsia" w:cstheme="minorBidi"/>
      <w:kern w:val="2"/>
      <w:sz w:val="18"/>
      <w:szCs w:val="18"/>
    </w:rPr>
  </w:style>
  <w:style w:type="character" w:customStyle="1" w:styleId="24">
    <w:name w:val="批注文字 Char"/>
    <w:basedOn w:val="17"/>
    <w:link w:val="6"/>
    <w:qFormat/>
    <w:uiPriority w:val="0"/>
    <w:rPr>
      <w:rFonts w:asciiTheme="minorHAnsi" w:hAnsiTheme="minorHAnsi" w:eastAsiaTheme="minorEastAsia" w:cstheme="minorBidi"/>
      <w:kern w:val="2"/>
      <w:sz w:val="21"/>
      <w:szCs w:val="24"/>
    </w:rPr>
  </w:style>
  <w:style w:type="character" w:customStyle="1" w:styleId="25">
    <w:name w:val="批注主题 Char"/>
    <w:basedOn w:val="24"/>
    <w:link w:val="13"/>
    <w:qFormat/>
    <w:uiPriority w:val="0"/>
    <w:rPr>
      <w:rFonts w:asciiTheme="minorHAnsi" w:hAnsiTheme="minorHAnsi" w:eastAsiaTheme="minorEastAsia" w:cstheme="minorBidi"/>
      <w:b/>
      <w:bCs/>
      <w:kern w:val="2"/>
      <w:sz w:val="21"/>
      <w:szCs w:val="24"/>
    </w:rPr>
  </w:style>
  <w:style w:type="paragraph" w:customStyle="1" w:styleId="26">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7">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styleId="28">
    <w:name w:val="List Paragraph"/>
    <w:basedOn w:val="1"/>
    <w:unhideWhenUsed/>
    <w:qFormat/>
    <w:uiPriority w:val="34"/>
    <w:pPr>
      <w:ind w:firstLine="420" w:firstLineChars="200"/>
    </w:pPr>
  </w:style>
  <w:style w:type="paragraph" w:customStyle="1" w:styleId="29">
    <w:name w:val="修订3"/>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0">
    <w:name w:val="标题 2 Char"/>
    <w:basedOn w:val="17"/>
    <w:link w:val="4"/>
    <w:semiHidden/>
    <w:qFormat/>
    <w:uiPriority w:val="0"/>
    <w:rPr>
      <w:rFonts w:asciiTheme="majorHAnsi" w:hAnsiTheme="majorHAnsi" w:eastAsiaTheme="majorEastAsia" w:cstheme="majorBidi"/>
      <w:b/>
      <w:bCs/>
      <w:kern w:val="2"/>
      <w:sz w:val="32"/>
      <w:szCs w:val="32"/>
    </w:rPr>
  </w:style>
  <w:style w:type="character" w:customStyle="1" w:styleId="31">
    <w:name w:val="页眉 Char"/>
    <w:basedOn w:val="17"/>
    <w:link w:val="10"/>
    <w:qFormat/>
    <w:uiPriority w:val="99"/>
    <w:rPr>
      <w:rFonts w:asciiTheme="minorHAnsi" w:hAnsiTheme="minorHAnsi" w:eastAsiaTheme="minorEastAsia" w:cstheme="minorBidi"/>
      <w:kern w:val="2"/>
      <w:sz w:val="18"/>
      <w:szCs w:val="24"/>
    </w:rPr>
  </w:style>
  <w:style w:type="character" w:customStyle="1" w:styleId="32">
    <w:name w:val="页脚 Char"/>
    <w:basedOn w:val="17"/>
    <w:link w:val="9"/>
    <w:qFormat/>
    <w:uiPriority w:val="0"/>
    <w:rPr>
      <w:rFonts w:asciiTheme="minorHAnsi" w:hAnsiTheme="minorHAnsi" w:eastAsiaTheme="minorEastAsia" w:cstheme="minorBidi"/>
      <w:kern w:val="2"/>
      <w:sz w:val="18"/>
      <w:szCs w:val="24"/>
    </w:rPr>
  </w:style>
  <w:style w:type="paragraph" w:customStyle="1" w:styleId="33">
    <w:name w:val="修订4"/>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4">
    <w:name w:val="脚注文本 Char"/>
    <w:basedOn w:val="17"/>
    <w:link w:val="11"/>
    <w:semiHidden/>
    <w:qFormat/>
    <w:uiPriority w:val="0"/>
    <w:rPr>
      <w:kern w:val="2"/>
      <w:sz w:val="18"/>
      <w:szCs w:val="18"/>
    </w:rPr>
  </w:style>
  <w:style w:type="paragraph" w:customStyle="1" w:styleId="35">
    <w:name w:val="修订5"/>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6">
    <w:name w:val="标题 3 Char"/>
    <w:basedOn w:val="17"/>
    <w:link w:val="5"/>
    <w:semiHidden/>
    <w:qFormat/>
    <w:uiPriority w:val="0"/>
    <w:rPr>
      <w:rFonts w:asciiTheme="minorHAnsi" w:hAnsiTheme="minorHAnsi" w:eastAsiaTheme="minorEastAsia" w:cstheme="minorBidi"/>
      <w:b/>
      <w:bCs/>
      <w:kern w:val="2"/>
      <w:sz w:val="32"/>
      <w:szCs w:val="32"/>
    </w:rPr>
  </w:style>
  <w:style w:type="paragraph" w:customStyle="1" w:styleId="37">
    <w:name w:val="Default"/>
    <w:qFormat/>
    <w:uiPriority w:val="0"/>
    <w:pPr>
      <w:widowControl w:val="0"/>
      <w:autoSpaceDE w:val="0"/>
      <w:autoSpaceDN w:val="0"/>
      <w:adjustRightInd w:val="0"/>
    </w:pPr>
    <w:rPr>
      <w:rFonts w:ascii="楷体" w:hAnsi="楷体" w:cs="楷体" w:eastAsiaTheme="minorEastAsia"/>
      <w:color w:val="000000"/>
      <w:sz w:val="24"/>
      <w:szCs w:val="24"/>
      <w:lang w:val="en-US" w:eastAsia="zh-CN" w:bidi="ar-SA"/>
    </w:rPr>
  </w:style>
  <w:style w:type="character" w:customStyle="1" w:styleId="38">
    <w:name w:val="不明显强调1"/>
    <w:qFormat/>
    <w:uiPriority w:val="19"/>
    <w:rPr>
      <w:rFonts w:ascii="仿宋" w:hAnsi="仿宋" w:eastAsia="仿宋" w:cs="Times New Roman"/>
      <w:sz w:val="32"/>
      <w:szCs w:val="32"/>
    </w:rPr>
  </w:style>
  <w:style w:type="character" w:customStyle="1" w:styleId="39">
    <w:name w:val="正文文本缩进 Char"/>
    <w:basedOn w:val="17"/>
    <w:link w:val="7"/>
    <w:semiHidden/>
    <w:qFormat/>
    <w:uiPriority w:val="99"/>
    <w:rPr>
      <w:rFonts w:asciiTheme="minorHAnsi" w:hAnsiTheme="minorHAnsi" w:eastAsiaTheme="minorEastAsia" w:cstheme="minorBidi"/>
      <w:kern w:val="2"/>
      <w:sz w:val="21"/>
      <w:szCs w:val="24"/>
    </w:rPr>
  </w:style>
  <w:style w:type="paragraph" w:customStyle="1" w:styleId="40">
    <w:name w:val="修订6"/>
    <w:hidden/>
    <w:unhideWhenUsed/>
    <w:qFormat/>
    <w:uiPriority w:val="99"/>
    <w:rPr>
      <w:rFonts w:asciiTheme="minorHAnsi" w:hAnsiTheme="minorHAnsi" w:eastAsiaTheme="minorEastAsia" w:cstheme="minorBidi"/>
      <w:kern w:val="2"/>
      <w:sz w:val="21"/>
      <w:szCs w:val="24"/>
      <w:lang w:val="en-US" w:eastAsia="zh-CN" w:bidi="ar-SA"/>
    </w:rPr>
  </w:style>
  <w:style w:type="character" w:styleId="41">
    <w:name w:val="Placeholder Text"/>
    <w:basedOn w:val="17"/>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文档" ma:contentTypeID="0x0101008A1CD0ACEFB685468ADC9D3ECFE50AA2" ma:contentTypeVersion="0" ma:contentTypeDescription="新建文档。" ma:contentTypeScope="" ma:versionID="def0500d8bfa075d08ce612c1990ead7">
  <xsd:schema xmlns:xsd="http://www.w3.org/2001/XMLSchema" xmlns:xs="http://www.w3.org/2001/XMLSchema" xmlns:p="http://schemas.microsoft.com/office/2006/metadata/properties" targetNamespace="http://schemas.microsoft.com/office/2006/metadata/properties" ma:root="true" ma:fieldsID="9adfd09ad98667f9c194c646e975416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D1ED46-448C-4959-A852-A2AEDC137DE6}">
  <ds:schemaRefs/>
</ds:datastoreItem>
</file>

<file path=customXml/itemProps3.xml><?xml version="1.0" encoding="utf-8"?>
<ds:datastoreItem xmlns:ds="http://schemas.openxmlformats.org/officeDocument/2006/customXml" ds:itemID="{FB595917-B52A-4752-9DDB-DA8981109C53}">
  <ds:schemaRefs/>
</ds:datastoreItem>
</file>

<file path=customXml/itemProps4.xml><?xml version="1.0" encoding="utf-8"?>
<ds:datastoreItem xmlns:ds="http://schemas.openxmlformats.org/officeDocument/2006/customXml" ds:itemID="{5A929AB0-C7C9-41EF-8792-9D29E3E4B1DF}">
  <ds:schemaRefs/>
</ds:datastoreItem>
</file>

<file path=docProps/app.xml><?xml version="1.0" encoding="utf-8"?>
<Properties xmlns="http://schemas.openxmlformats.org/officeDocument/2006/extended-properties" xmlns:vt="http://schemas.openxmlformats.org/officeDocument/2006/docPropsVTypes">
  <Template>Normal</Template>
  <Pages>1</Pages>
  <Words>2681</Words>
  <Characters>15287</Characters>
  <Lines>127</Lines>
  <Paragraphs>35</Paragraphs>
  <TotalTime>14</TotalTime>
  <ScaleCrop>false</ScaleCrop>
  <LinksUpToDate>false</LinksUpToDate>
  <CharactersWithSpaces>17933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2023-02-15T01:54:00Z</dcterms:created>
  <dc:creator>章涛(tzhang)</dc:creator>
  <cp:lastModifiedBy>司楠</cp:lastModifiedBy>
  <cp:lastPrinted>2024-01-02T02:08:00Z</cp:lastPrinted>
  <dcterms:modified xsi:type="dcterms:W3CDTF">2024-11-26T08:50:41Z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ContentTypeId">
    <vt:lpwstr>0x0101008A1CD0ACEFB685468ADC9D3ECFE50AA2</vt:lpwstr>
  </property>
  <property fmtid="{D5CDD505-2E9C-101B-9397-08002B2CF9AE}" pid="4" name="ICV">
    <vt:lpwstr>C82307262743407FA556728F1AF4A290</vt:lpwstr>
  </property>
</Properties>
</file>