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6" w:beforeLines="100" w:after="316" w:afterLines="100" w:line="560" w:lineRule="exact"/>
        <w:jc w:val="center"/>
        <w:textAlignment w:val="center"/>
        <w:rPr>
          <w:rFonts w:ascii="Times New Roman" w:hAnsi="Times New Roman" w:eastAsia="方正小标宋简体"/>
          <w:color w:val="000000"/>
          <w:spacing w:val="12"/>
          <w:sz w:val="44"/>
          <w:szCs w:val="44"/>
          <w:highlight w:val="none"/>
        </w:rPr>
      </w:pPr>
      <w:bookmarkStart w:id="6" w:name="_GoBack"/>
      <w:bookmarkEnd w:id="6"/>
      <w:bookmarkStart w:id="0" w:name="_Toc1367951469"/>
      <w:bookmarkStart w:id="1" w:name="_Toc487457050"/>
      <w:bookmarkStart w:id="2" w:name="_Toc740857988"/>
      <w:bookmarkStart w:id="3" w:name="_Toc1574714070"/>
      <w:bookmarkStart w:id="4" w:name="_Toc1952384747"/>
      <w:bookmarkStart w:id="5" w:name="_Toc1985683688"/>
      <w:r>
        <w:rPr>
          <w:rFonts w:ascii="Times New Roman" w:hAnsi="Times New Roman" w:eastAsia="方正小标宋简体"/>
          <w:color w:val="000000"/>
          <w:spacing w:val="12"/>
          <w:sz w:val="44"/>
          <w:szCs w:val="44"/>
          <w:highlight w:val="none"/>
        </w:rPr>
        <mc:AlternateContent>
          <mc:Choice Requires="wps">
            <w:drawing>
              <wp:anchor distT="0" distB="0" distL="114300" distR="114300" simplePos="0" relativeHeight="251673600" behindDoc="0" locked="0" layoutInCell="1" allowOverlap="1">
                <wp:simplePos x="0" y="0"/>
                <wp:positionH relativeFrom="column">
                  <wp:posOffset>2252345</wp:posOffset>
                </wp:positionH>
                <wp:positionV relativeFrom="paragraph">
                  <wp:posOffset>1925955</wp:posOffset>
                </wp:positionV>
                <wp:extent cx="2308225" cy="441960"/>
                <wp:effectExtent l="0" t="0" r="8255" b="0"/>
                <wp:wrapNone/>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08072" cy="442032"/>
                        </a:xfrm>
                        <a:prstGeom prst="rect">
                          <a:avLst/>
                        </a:prstGeom>
                        <a:solidFill>
                          <a:srgbClr val="FFFFFF"/>
                        </a:solidFill>
                        <a:ln w="9525">
                          <a:noFill/>
                          <a:miter lim="800000"/>
                        </a:ln>
                      </wps:spPr>
                      <wps:txbx>
                        <w:txbxContent>
                          <w:p>
                            <w:pPr>
                              <w:rPr>
                                <w:rFonts w:ascii="楷体" w:hAnsi="楷体" w:eastAsia="楷体"/>
                                <w:b/>
                                <w:sz w:val="28"/>
                                <w:szCs w:val="28"/>
                              </w:rPr>
                            </w:pPr>
                            <w:r>
                              <w:rPr>
                                <w:rFonts w:hint="eastAsia" w:ascii="楷体" w:hAnsi="楷体" w:eastAsia="楷体"/>
                                <w:b/>
                                <w:sz w:val="28"/>
                                <w:szCs w:val="28"/>
                              </w:rPr>
                              <w:t>202</w:t>
                            </w:r>
                            <w:r>
                              <w:rPr>
                                <w:rFonts w:hint="eastAsia" w:ascii="楷体" w:hAnsi="楷体" w:eastAsia="楷体"/>
                                <w:b/>
                                <w:sz w:val="28"/>
                                <w:szCs w:val="28"/>
                                <w:lang w:val="en-US" w:eastAsia="zh-CN"/>
                              </w:rPr>
                              <w:t>5</w:t>
                            </w:r>
                            <w:r>
                              <w:rPr>
                                <w:rFonts w:hint="eastAsia" w:ascii="楷体" w:hAnsi="楷体" w:eastAsia="楷体"/>
                                <w:b/>
                                <w:sz w:val="28"/>
                                <w:szCs w:val="28"/>
                              </w:rPr>
                              <w:t>年第</w:t>
                            </w:r>
                            <w:r>
                              <w:rPr>
                                <w:rFonts w:hint="default" w:ascii="楷体" w:hAnsi="楷体" w:eastAsia="楷体"/>
                                <w:b/>
                                <w:sz w:val="28"/>
                                <w:szCs w:val="28"/>
                                <w:lang w:val="en-US" w:eastAsia="zh-CN"/>
                              </w:rPr>
                              <w:t>3</w:t>
                            </w:r>
                            <w:r>
                              <w:rPr>
                                <w:rFonts w:hint="eastAsia" w:ascii="楷体" w:hAnsi="楷体" w:eastAsia="楷体"/>
                                <w:b/>
                                <w:sz w:val="28"/>
                                <w:szCs w:val="28"/>
                              </w:rPr>
                              <w:t>期（总第</w:t>
                            </w:r>
                            <w:r>
                              <w:rPr>
                                <w:rFonts w:hint="eastAsia" w:ascii="楷体" w:hAnsi="楷体" w:eastAsia="楷体"/>
                                <w:b/>
                                <w:sz w:val="28"/>
                                <w:szCs w:val="28"/>
                                <w:lang w:val="en-US" w:eastAsia="zh-CN"/>
                              </w:rPr>
                              <w:t>1</w:t>
                            </w:r>
                            <w:r>
                              <w:rPr>
                                <w:rFonts w:hint="default" w:ascii="楷体" w:hAnsi="楷体" w:eastAsia="楷体"/>
                                <w:b/>
                                <w:sz w:val="28"/>
                                <w:szCs w:val="28"/>
                                <w:lang w:val="en-US" w:eastAsia="zh-CN"/>
                              </w:rPr>
                              <w:t>3</w:t>
                            </w:r>
                            <w:r>
                              <w:rPr>
                                <w:rFonts w:hint="eastAsia" w:ascii="楷体" w:hAnsi="楷体" w:eastAsia="楷体"/>
                                <w:b/>
                                <w:sz w:val="28"/>
                                <w:szCs w:val="28"/>
                              </w:rPr>
                              <w:t>期）</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7.35pt;margin-top:151.65pt;height:34.8pt;width:181.75pt;z-index:251673600;mso-width-relative:page;mso-height-relative:page;" fillcolor="#FFFFFF" filled="t" stroked="f" coordsize="21600,21600" o:gfxdata="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fbqNkAAAALAQAADwAAAAAAAAABACAAAAAiAAAAZHJzL2Rv&#10;d25yZXYueG1sUEsBAhQAFAAAAAgAh07iQH0ixFo5AgAAUgQAAA4AAAAAAAAAAQAgAAAAKAEAAGRy&#10;cy9lMm9Eb2MueG1sUEsFBgAAAAAGAAYAWQEAANMFAAAAAA==&#10;">
                <v:fill on="t" focussize="0,0"/>
                <v:stroke on="f" miterlimit="8" joinstyle="miter"/>
                <v:imagedata o:title=""/>
                <o:lock v:ext="edit" aspectratio="f"/>
                <v:textbox>
                  <w:txbxContent>
                    <w:p>
                      <w:pPr>
                        <w:rPr>
                          <w:rFonts w:ascii="楷体" w:hAnsi="楷体" w:eastAsia="楷体"/>
                          <w:b/>
                          <w:sz w:val="28"/>
                          <w:szCs w:val="28"/>
                        </w:rPr>
                      </w:pPr>
                      <w:r>
                        <w:rPr>
                          <w:rFonts w:hint="eastAsia" w:ascii="楷体" w:hAnsi="楷体" w:eastAsia="楷体"/>
                          <w:b/>
                          <w:sz w:val="28"/>
                          <w:szCs w:val="28"/>
                        </w:rPr>
                        <w:t>202</w:t>
                      </w:r>
                      <w:r>
                        <w:rPr>
                          <w:rFonts w:hint="eastAsia" w:ascii="楷体" w:hAnsi="楷体" w:eastAsia="楷体"/>
                          <w:b/>
                          <w:sz w:val="28"/>
                          <w:szCs w:val="28"/>
                          <w:lang w:val="en-US" w:eastAsia="zh-CN"/>
                        </w:rPr>
                        <w:t>5</w:t>
                      </w:r>
                      <w:r>
                        <w:rPr>
                          <w:rFonts w:hint="eastAsia" w:ascii="楷体" w:hAnsi="楷体" w:eastAsia="楷体"/>
                          <w:b/>
                          <w:sz w:val="28"/>
                          <w:szCs w:val="28"/>
                        </w:rPr>
                        <w:t>年第</w:t>
                      </w:r>
                      <w:r>
                        <w:rPr>
                          <w:rFonts w:hint="default" w:ascii="楷体" w:hAnsi="楷体" w:eastAsia="楷体"/>
                          <w:b/>
                          <w:sz w:val="28"/>
                          <w:szCs w:val="28"/>
                          <w:lang w:val="en-US" w:eastAsia="zh-CN"/>
                        </w:rPr>
                        <w:t>3</w:t>
                      </w:r>
                      <w:r>
                        <w:rPr>
                          <w:rFonts w:hint="eastAsia" w:ascii="楷体" w:hAnsi="楷体" w:eastAsia="楷体"/>
                          <w:b/>
                          <w:sz w:val="28"/>
                          <w:szCs w:val="28"/>
                        </w:rPr>
                        <w:t>期（总第</w:t>
                      </w:r>
                      <w:r>
                        <w:rPr>
                          <w:rFonts w:hint="eastAsia" w:ascii="楷体" w:hAnsi="楷体" w:eastAsia="楷体"/>
                          <w:b/>
                          <w:sz w:val="28"/>
                          <w:szCs w:val="28"/>
                          <w:lang w:val="en-US" w:eastAsia="zh-CN"/>
                        </w:rPr>
                        <w:t>1</w:t>
                      </w:r>
                      <w:r>
                        <w:rPr>
                          <w:rFonts w:hint="default" w:ascii="楷体" w:hAnsi="楷体" w:eastAsia="楷体"/>
                          <w:b/>
                          <w:sz w:val="28"/>
                          <w:szCs w:val="28"/>
                          <w:lang w:val="en-US" w:eastAsia="zh-CN"/>
                        </w:rPr>
                        <w:t>3</w:t>
                      </w:r>
                      <w:r>
                        <w:rPr>
                          <w:rFonts w:hint="eastAsia" w:ascii="楷体" w:hAnsi="楷体" w:eastAsia="楷体"/>
                          <w:b/>
                          <w:sz w:val="28"/>
                          <w:szCs w:val="28"/>
                        </w:rPr>
                        <w:t>期）</w:t>
                      </w:r>
                    </w:p>
                  </w:txbxContent>
                </v:textbox>
              </v:shape>
            </w:pict>
          </mc:Fallback>
        </mc:AlternateContent>
      </w:r>
      <w:r>
        <w:rPr>
          <w:rFonts w:ascii="Times New Roman" w:hAnsi="Times New Roman" w:eastAsia="方正小标宋简体"/>
          <w:color w:val="000000"/>
          <w:spacing w:val="12"/>
          <w:sz w:val="44"/>
          <w:szCs w:val="44"/>
          <w:highlight w:val="none"/>
        </w:rPr>
        <w:drawing>
          <wp:anchor distT="0" distB="0" distL="114300" distR="114300" simplePos="0" relativeHeight="251669504" behindDoc="0" locked="0" layoutInCell="1" allowOverlap="1">
            <wp:simplePos x="0" y="0"/>
            <wp:positionH relativeFrom="column">
              <wp:posOffset>-8840470</wp:posOffset>
            </wp:positionH>
            <wp:positionV relativeFrom="page">
              <wp:posOffset>-102235</wp:posOffset>
            </wp:positionV>
            <wp:extent cx="15362555" cy="10425430"/>
            <wp:effectExtent l="0" t="0" r="14605" b="1397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62789" cy="10425634"/>
                    </a:xfrm>
                    <a:prstGeom prst="rect">
                      <a:avLst/>
                    </a:prstGeom>
                  </pic:spPr>
                </pic:pic>
              </a:graphicData>
            </a:graphic>
          </wp:anchor>
        </w:drawing>
      </w:r>
    </w:p>
    <w:p>
      <w:pPr>
        <w:spacing w:before="158" w:beforeLines="50" w:line="560" w:lineRule="exact"/>
        <w:ind w:right="1049"/>
        <w:jc w:val="right"/>
        <w:textAlignment w:val="center"/>
        <w:rPr>
          <w:rFonts w:ascii="Times New Roman" w:hAnsi="Times New Roman" w:eastAsia="方正小标宋简体"/>
          <w:b/>
          <w:bCs/>
          <w:spacing w:val="312"/>
          <w:kern w:val="0"/>
          <w:sz w:val="56"/>
          <w:szCs w:val="56"/>
          <w:highlight w:val="none"/>
        </w:rPr>
        <w:sectPr>
          <w:headerReference r:id="rId3" w:type="default"/>
          <w:footerReference r:id="rId4" w:type="default"/>
          <w:pgSz w:w="11906" w:h="16157"/>
          <w:pgMar w:top="1440" w:right="1800" w:bottom="1440" w:left="1800" w:header="964" w:footer="1077" w:gutter="0"/>
          <w:pgNumType w:fmt="decimal"/>
          <w:cols w:space="0" w:num="1"/>
          <w:docGrid w:type="lines" w:linePitch="316" w:charSpace="0"/>
        </w:sectPr>
      </w:pPr>
    </w:p>
    <w:p>
      <w:pPr>
        <w:spacing w:before="158" w:beforeLines="50" w:after="158" w:afterLines="50" w:line="560" w:lineRule="exact"/>
        <w:jc w:val="center"/>
        <w:textAlignment w:val="center"/>
        <w:rPr>
          <w:rFonts w:ascii="Times New Roman" w:hAnsi="Times New Roman" w:eastAsia="方正小标宋简体"/>
          <w:b/>
          <w:bCs/>
          <w:sz w:val="48"/>
          <w:szCs w:val="48"/>
          <w:highlight w:val="none"/>
        </w:rPr>
      </w:pPr>
      <w:r>
        <w:rPr>
          <w:rFonts w:ascii="Times New Roman" w:hAnsi="Times New Roman" w:eastAsia="方正小标宋简体" w:cs="Times New Roman"/>
          <w:b/>
          <w:bCs/>
          <w:spacing w:val="7704"/>
          <w:kern w:val="0"/>
          <w:sz w:val="52"/>
          <w:szCs w:val="52"/>
          <w:highlight w:val="none"/>
          <w:fitText w:val="8224" w:id="-1776563968"/>
        </w:rPr>
        <mc:AlternateContent>
          <mc:Choice Requires="wps">
            <w:drawing>
              <wp:anchor distT="0" distB="0" distL="114300" distR="114300" simplePos="0" relativeHeight="251666432" behindDoc="0" locked="0" layoutInCell="1" allowOverlap="1">
                <wp:simplePos x="0" y="0"/>
                <wp:positionH relativeFrom="column">
                  <wp:posOffset>3927475</wp:posOffset>
                </wp:positionH>
                <wp:positionV relativeFrom="paragraph">
                  <wp:posOffset>-5476875</wp:posOffset>
                </wp:positionV>
                <wp:extent cx="2374265" cy="140398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ln>
                      </wps:spPr>
                      <wps:txbx>
                        <w:txbxContent>
                          <w:p>
                            <w:pPr>
                              <w:rPr>
                                <w:rFonts w:ascii="楷体" w:hAnsi="楷体" w:eastAsia="楷体"/>
                                <w:b/>
                                <w:sz w:val="24"/>
                              </w:rPr>
                            </w:pPr>
                            <w:r>
                              <w:rPr>
                                <w:rFonts w:hint="eastAsia" w:ascii="楷体" w:hAnsi="楷体" w:eastAsia="楷体"/>
                                <w:b/>
                                <w:sz w:val="24"/>
                              </w:rPr>
                              <w:t>2021年第5期（总第11期）</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309.25pt;margin-top:-431.25pt;height:110.55pt;width:186.95pt;z-index:251666432;mso-width-relative:margin;mso-height-relative:margin;mso-width-percent:400;mso-height-percent:200;" filled="f" stroked="f" coordsize="21600,21600" o:gfxdata="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NwsT2gAAAA0BAAAPAAAAAAAAAAEAIAAAACIAAABkcnMvZG93bnJldi54bWxQSwECFAAU&#10;AAAACACHTuJA6QnjLCgCAAAsBAAADgAAAAAAAAABACAAAAApAQAAZHJzL2Uyb0RvYy54bWxQSwUG&#10;AAAAAAYABgBZAQAAwwUAAAAA&#10;">
                <v:fill on="f" focussize="0,0"/>
                <v:stroke on="f" miterlimit="8" joinstyle="miter"/>
                <v:imagedata o:title=""/>
                <o:lock v:ext="edit" aspectratio="f"/>
                <v:textbox style="mso-fit-shape-to-text:t;">
                  <w:txbxContent>
                    <w:p>
                      <w:pPr>
                        <w:rPr>
                          <w:rFonts w:ascii="楷体" w:hAnsi="楷体" w:eastAsia="楷体"/>
                          <w:b/>
                          <w:sz w:val="24"/>
                        </w:rPr>
                      </w:pPr>
                      <w:r>
                        <w:rPr>
                          <w:rFonts w:hint="eastAsia" w:ascii="楷体" w:hAnsi="楷体" w:eastAsia="楷体"/>
                          <w:b/>
                          <w:sz w:val="24"/>
                        </w:rPr>
                        <w:t>2021年第5期（总第11期）</w:t>
                      </w:r>
                    </w:p>
                  </w:txbxContent>
                </v:textbox>
              </v:shape>
            </w:pict>
          </mc:Fallback>
        </mc:AlternateContent>
      </w:r>
      <w:r>
        <w:rPr>
          <w:rFonts w:hint="eastAsia" w:ascii="Times New Roman" w:hAnsi="Times New Roman" w:eastAsia="方正小标宋简体" w:cs="Times New Roman"/>
          <w:b/>
          <w:bCs/>
          <w:spacing w:val="61"/>
          <w:kern w:val="0"/>
          <w:sz w:val="52"/>
          <w:szCs w:val="52"/>
          <w:highlight w:val="none"/>
          <w:fitText w:val="8224" w:id="787949873"/>
        </w:rPr>
        <w:t>深圳证券交易所会计监管动</w:t>
      </w:r>
      <w:r>
        <w:rPr>
          <w:rFonts w:hint="eastAsia" w:ascii="Times New Roman" w:hAnsi="Times New Roman" w:eastAsia="方正小标宋简体" w:cs="Times New Roman"/>
          <w:b/>
          <w:bCs/>
          <w:spacing w:val="0"/>
          <w:kern w:val="0"/>
          <w:sz w:val="52"/>
          <w:szCs w:val="52"/>
          <w:highlight w:val="none"/>
          <w:fitText w:val="8224" w:id="787949873"/>
        </w:rPr>
        <w:t>态</w:t>
      </w:r>
      <w:r>
        <w:rPr>
          <w:rFonts w:ascii="Times New Roman" w:hAnsi="Times New Roman" w:eastAsia="Noto Sans Mono CJK JP Bold"/>
          <w:sz w:val="48"/>
          <w:szCs w:val="48"/>
          <w:highlight w:val="none"/>
        </w:rPr>
        <mc:AlternateContent>
          <mc:Choice Requires="wps">
            <w:drawing>
              <wp:anchor distT="0" distB="0" distL="114300" distR="114300" simplePos="0" relativeHeight="251667456" behindDoc="1" locked="0" layoutInCell="1" allowOverlap="1">
                <wp:simplePos x="0" y="0"/>
                <wp:positionH relativeFrom="page">
                  <wp:posOffset>946150</wp:posOffset>
                </wp:positionH>
                <wp:positionV relativeFrom="paragraph">
                  <wp:posOffset>543560</wp:posOffset>
                </wp:positionV>
                <wp:extent cx="5769610" cy="40640"/>
                <wp:effectExtent l="19050" t="19050" r="33020" b="31750"/>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5769610" cy="40640"/>
                        </a:xfrm>
                        <a:prstGeom prst="rect">
                          <a:avLst/>
                        </a:prstGeom>
                        <a:solidFill>
                          <a:srgbClr val="E6E7E8"/>
                        </a:solidFill>
                        <a:ln w="38100">
                          <a:solidFill>
                            <a:schemeClr val="bg1">
                              <a:lumMod val="85000"/>
                            </a:schemeClr>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4.5pt;margin-top:42.8pt;height:3.2pt;width:454.3pt;mso-position-horizontal-relative:page;z-index:-251649024;mso-width-relative:page;mso-height-relative:page;" fillcolor="#E6E7E8" filled="t" stroked="t" coordsize="21600,21600" o:gfxdata="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xJ7uQ2AAAAAoBAAAPAAAAAAAA&#10;AAEAIAAAACIAAABkcnMvZG93bnJldi54bWxQSwECFAAUAAAACACHTuJADhLRJ0sCAACTBAAADgAA&#10;AAAAAAABACAAAAAnAQAAZHJzL2Uyb0RvYy54bWxQSwUGAAAAAAYABgBZAQAA5AUAAAAA&#10;">
                <v:fill on="t" focussize="0,0"/>
                <v:stroke weight="3pt" color="#D9D9D9 [2732]" miterlimit="8" joinstyle="miter"/>
                <v:imagedata o:title=""/>
                <o:lock v:ext="edit" aspectratio="f"/>
              </v:rect>
            </w:pict>
          </mc:Fallback>
        </mc:AlternateContent>
      </w:r>
    </w:p>
    <w:p>
      <w:pPr>
        <w:pStyle w:val="4"/>
        <w:spacing w:line="560" w:lineRule="exact"/>
        <w:ind w:left="5250"/>
        <w:jc w:val="both"/>
        <w:textAlignment w:val="center"/>
        <w:rPr>
          <w:rFonts w:ascii="Times New Roman" w:hAnsi="Times New Roman"/>
          <w:sz w:val="20"/>
          <w:highlight w:val="none"/>
        </w:rPr>
      </w:pPr>
      <w:r>
        <w:rPr>
          <w:rFonts w:ascii="Times New Roman" w:hAnsi="Times New Roman" w:eastAsia="黑体"/>
          <w:highlight w:val="none"/>
        </w:rPr>
        <mc:AlternateContent>
          <mc:Choice Requires="wps">
            <w:drawing>
              <wp:anchor distT="0" distB="0" distL="114300" distR="114300" simplePos="0" relativeHeight="251668480" behindDoc="0" locked="0" layoutInCell="1" allowOverlap="1">
                <wp:simplePos x="0" y="0"/>
                <wp:positionH relativeFrom="column">
                  <wp:posOffset>3545840</wp:posOffset>
                </wp:positionH>
                <wp:positionV relativeFrom="paragraph">
                  <wp:posOffset>35560</wp:posOffset>
                </wp:positionV>
                <wp:extent cx="2026920" cy="346710"/>
                <wp:effectExtent l="0" t="0" r="0" b="0"/>
                <wp:wrapNone/>
                <wp:docPr id="19" name="矩形 19"/>
                <wp:cNvGraphicFramePr/>
                <a:graphic xmlns:a="http://schemas.openxmlformats.org/drawingml/2006/main">
                  <a:graphicData uri="http://schemas.microsoft.com/office/word/2010/wordprocessingShape">
                    <wps:wsp>
                      <wps:cNvSpPr/>
                      <wps:spPr>
                        <a:xfrm>
                          <a:off x="0" y="0"/>
                          <a:ext cx="2026920" cy="346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202</w:t>
                            </w:r>
                            <w:r>
                              <w:rPr>
                                <w:rFonts w:hint="eastAsia" w:ascii="楷体" w:hAnsi="楷体" w:eastAsia="楷体"/>
                                <w:b/>
                                <w:color w:val="000000" w:themeColor="text1"/>
                                <w:sz w:val="24"/>
                                <w:lang w:val="en-US" w:eastAsia="zh-CN"/>
                                <w14:textFill>
                                  <w14:solidFill>
                                    <w14:schemeClr w14:val="tx1"/>
                                  </w14:solidFill>
                                </w14:textFill>
                              </w:rPr>
                              <w:t>5</w:t>
                            </w:r>
                            <w:r>
                              <w:rPr>
                                <w:rFonts w:hint="eastAsia" w:ascii="楷体" w:hAnsi="楷体" w:eastAsia="楷体"/>
                                <w:b/>
                                <w:color w:val="000000" w:themeColor="text1"/>
                                <w:sz w:val="24"/>
                                <w14:textFill>
                                  <w14:solidFill>
                                    <w14:schemeClr w14:val="tx1"/>
                                  </w14:solidFill>
                                </w14:textFill>
                              </w:rPr>
                              <w:t>年第</w:t>
                            </w:r>
                            <w:r>
                              <w:rPr>
                                <w:rFonts w:hint="default" w:ascii="楷体" w:hAnsi="楷体" w:eastAsia="楷体"/>
                                <w:b/>
                                <w:color w:val="000000" w:themeColor="text1"/>
                                <w:sz w:val="24"/>
                                <w:lang w:val="en-US" w:eastAsia="zh-CN"/>
                                <w14:textFill>
                                  <w14:solidFill>
                                    <w14:schemeClr w14:val="tx1"/>
                                  </w14:solidFill>
                                </w14:textFill>
                              </w:rPr>
                              <w:t>3</w:t>
                            </w:r>
                            <w:r>
                              <w:rPr>
                                <w:rFonts w:hint="eastAsia" w:ascii="楷体" w:hAnsi="楷体" w:eastAsia="楷体"/>
                                <w:b/>
                                <w:color w:val="000000" w:themeColor="text1"/>
                                <w:sz w:val="24"/>
                                <w14:textFill>
                                  <w14:solidFill>
                                    <w14:schemeClr w14:val="tx1"/>
                                  </w14:solidFill>
                                </w14:textFill>
                              </w:rPr>
                              <w:t>期（总第</w:t>
                            </w:r>
                            <w:r>
                              <w:rPr>
                                <w:rFonts w:hint="eastAsia" w:ascii="楷体" w:hAnsi="楷体" w:eastAsia="楷体"/>
                                <w:b/>
                                <w:color w:val="000000" w:themeColor="text1"/>
                                <w:sz w:val="24"/>
                                <w:lang w:val="en-US" w:eastAsia="zh-CN"/>
                                <w14:textFill>
                                  <w14:solidFill>
                                    <w14:schemeClr w14:val="tx1"/>
                                  </w14:solidFill>
                                </w14:textFill>
                              </w:rPr>
                              <w:t>1</w:t>
                            </w:r>
                            <w:r>
                              <w:rPr>
                                <w:rFonts w:hint="default" w:ascii="楷体" w:hAnsi="楷体" w:eastAsia="楷体"/>
                                <w:b/>
                                <w:color w:val="000000" w:themeColor="text1"/>
                                <w:sz w:val="24"/>
                                <w:lang w:val="en-US" w:eastAsia="zh-CN"/>
                                <w14:textFill>
                                  <w14:solidFill>
                                    <w14:schemeClr w14:val="tx1"/>
                                  </w14:solidFill>
                                </w14:textFill>
                              </w:rPr>
                              <w:t>3</w:t>
                            </w:r>
                            <w:r>
                              <w:rPr>
                                <w:rFonts w:hint="eastAsia" w:ascii="楷体" w:hAnsi="楷体" w:eastAsia="楷体"/>
                                <w:b/>
                                <w:color w:val="000000" w:themeColor="text1"/>
                                <w:sz w:val="24"/>
                                <w14:textFill>
                                  <w14:solidFill>
                                    <w14:schemeClr w14:val="tx1"/>
                                  </w14:solidFill>
                                </w14:textFill>
                              </w:rPr>
                              <w:t>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2pt;margin-top:2.8pt;height:27.3pt;width:159.6pt;z-index:251668480;v-text-anchor:middle;mso-width-relative:page;mso-height-relative:page;" filled="f" stroked="f" coordsize="21600,21600" o:gfxdata="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JKR9YAAAAIAQAADwAAAAAAAAABACAAAAAiAAAAZHJzL2Rvd25yZXYueG1sUEsBAhQAFAAAAAgA&#10;h07iQDBu/PNgAgAArwQAAA4AAAAAAAAAAQAgAAAAJQEAAGRycy9lMm9Eb2MueG1sUEsFBgAAAAAG&#10;AAYAWQEAAPcFAAAAAA==&#10;">
                <v:fill on="f" focussize="0,0"/>
                <v:stroke on="f" weight="1pt" miterlimit="8" joinstyle="miter"/>
                <v:imagedata o:title=""/>
                <o:lock v:ext="edit" aspectratio="f"/>
                <v:textbox>
                  <w:txbxContent>
                    <w:p>
                      <w:pPr>
                        <w:jc w:val="cente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202</w:t>
                      </w:r>
                      <w:r>
                        <w:rPr>
                          <w:rFonts w:hint="eastAsia" w:ascii="楷体" w:hAnsi="楷体" w:eastAsia="楷体"/>
                          <w:b/>
                          <w:color w:val="000000" w:themeColor="text1"/>
                          <w:sz w:val="24"/>
                          <w:lang w:val="en-US" w:eastAsia="zh-CN"/>
                          <w14:textFill>
                            <w14:solidFill>
                              <w14:schemeClr w14:val="tx1"/>
                            </w14:solidFill>
                          </w14:textFill>
                        </w:rPr>
                        <w:t>5</w:t>
                      </w:r>
                      <w:r>
                        <w:rPr>
                          <w:rFonts w:hint="eastAsia" w:ascii="楷体" w:hAnsi="楷体" w:eastAsia="楷体"/>
                          <w:b/>
                          <w:color w:val="000000" w:themeColor="text1"/>
                          <w:sz w:val="24"/>
                          <w14:textFill>
                            <w14:solidFill>
                              <w14:schemeClr w14:val="tx1"/>
                            </w14:solidFill>
                          </w14:textFill>
                        </w:rPr>
                        <w:t>年第</w:t>
                      </w:r>
                      <w:r>
                        <w:rPr>
                          <w:rFonts w:hint="default" w:ascii="楷体" w:hAnsi="楷体" w:eastAsia="楷体"/>
                          <w:b/>
                          <w:color w:val="000000" w:themeColor="text1"/>
                          <w:sz w:val="24"/>
                          <w:lang w:val="en-US" w:eastAsia="zh-CN"/>
                          <w14:textFill>
                            <w14:solidFill>
                              <w14:schemeClr w14:val="tx1"/>
                            </w14:solidFill>
                          </w14:textFill>
                        </w:rPr>
                        <w:t>3</w:t>
                      </w:r>
                      <w:r>
                        <w:rPr>
                          <w:rFonts w:hint="eastAsia" w:ascii="楷体" w:hAnsi="楷体" w:eastAsia="楷体"/>
                          <w:b/>
                          <w:color w:val="000000" w:themeColor="text1"/>
                          <w:sz w:val="24"/>
                          <w14:textFill>
                            <w14:solidFill>
                              <w14:schemeClr w14:val="tx1"/>
                            </w14:solidFill>
                          </w14:textFill>
                        </w:rPr>
                        <w:t>期（总第</w:t>
                      </w:r>
                      <w:r>
                        <w:rPr>
                          <w:rFonts w:hint="eastAsia" w:ascii="楷体" w:hAnsi="楷体" w:eastAsia="楷体"/>
                          <w:b/>
                          <w:color w:val="000000" w:themeColor="text1"/>
                          <w:sz w:val="24"/>
                          <w:lang w:val="en-US" w:eastAsia="zh-CN"/>
                          <w14:textFill>
                            <w14:solidFill>
                              <w14:schemeClr w14:val="tx1"/>
                            </w14:solidFill>
                          </w14:textFill>
                        </w:rPr>
                        <w:t>1</w:t>
                      </w:r>
                      <w:r>
                        <w:rPr>
                          <w:rFonts w:hint="default" w:ascii="楷体" w:hAnsi="楷体" w:eastAsia="楷体"/>
                          <w:b/>
                          <w:color w:val="000000" w:themeColor="text1"/>
                          <w:sz w:val="24"/>
                          <w:lang w:val="en-US" w:eastAsia="zh-CN"/>
                          <w14:textFill>
                            <w14:solidFill>
                              <w14:schemeClr w14:val="tx1"/>
                            </w14:solidFill>
                          </w14:textFill>
                        </w:rPr>
                        <w:t>3</w:t>
                      </w:r>
                      <w:r>
                        <w:rPr>
                          <w:rFonts w:hint="eastAsia" w:ascii="楷体" w:hAnsi="楷体" w:eastAsia="楷体"/>
                          <w:b/>
                          <w:color w:val="000000" w:themeColor="text1"/>
                          <w:sz w:val="24"/>
                          <w14:textFill>
                            <w14:solidFill>
                              <w14:schemeClr w14:val="tx1"/>
                            </w14:solidFill>
                          </w14:textFill>
                        </w:rPr>
                        <w:t>期）</w:t>
                      </w:r>
                    </w:p>
                  </w:txbxContent>
                </v:textbox>
              </v:rect>
            </w:pict>
          </mc:Fallback>
        </mc:AlternateContent>
      </w:r>
    </w:p>
    <w:p>
      <w:pPr>
        <w:tabs>
          <w:tab w:val="left" w:pos="1200"/>
        </w:tabs>
        <w:spacing w:line="560" w:lineRule="exact"/>
        <w:ind w:right="1050"/>
        <w:textAlignment w:val="center"/>
        <w:rPr>
          <w:rFonts w:ascii="Times New Roman" w:hAnsi="Times New Roman" w:eastAsia="黑体"/>
          <w:sz w:val="30"/>
          <w:szCs w:val="30"/>
          <w:highlight w:val="none"/>
        </w:rPr>
      </w:pPr>
    </w:p>
    <w:p>
      <w:pPr>
        <w:spacing w:line="560" w:lineRule="exact"/>
        <w:ind w:right="1050"/>
        <w:textAlignment w:val="center"/>
        <w:rPr>
          <w:rFonts w:ascii="Times New Roman" w:hAnsi="Times New Roman" w:eastAsia="黑体"/>
          <w:sz w:val="30"/>
          <w:szCs w:val="30"/>
          <w:highlight w:val="none"/>
        </w:rPr>
      </w:pPr>
    </w:p>
    <w:p>
      <w:pPr>
        <w:spacing w:line="560" w:lineRule="exact"/>
        <w:ind w:right="1050"/>
        <w:jc w:val="left"/>
        <w:textAlignment w:val="center"/>
        <w:rPr>
          <w:rFonts w:ascii="Times New Roman" w:hAnsi="Times New Roman" w:eastAsia="方正黑体简体"/>
          <w:sz w:val="30"/>
          <w:szCs w:val="30"/>
          <w:highlight w:val="none"/>
        </w:rPr>
      </w:pPr>
      <w:r>
        <w:rPr>
          <w:rFonts w:hint="eastAsia" w:ascii="Times New Roman" w:hAnsi="Times New Roman" w:eastAsia="方正黑体简体"/>
          <w:sz w:val="30"/>
          <w:szCs w:val="30"/>
          <w:highlight w:val="none"/>
        </w:rPr>
        <w:t>一、</w:t>
      </w:r>
      <w:r>
        <w:rPr>
          <w:rFonts w:hint="eastAsia" w:ascii="Times New Roman" w:hAnsi="Times New Roman" w:eastAsia="方正黑体简体"/>
          <w:sz w:val="30"/>
          <w:szCs w:val="30"/>
          <w:highlight w:val="none"/>
          <w:lang w:eastAsia="zh-CN"/>
        </w:rPr>
        <w:t>深市会计审计监管通讯</w:t>
      </w:r>
      <w:r>
        <w:rPr>
          <w:rFonts w:hint="eastAsia" w:ascii="Times New Roman" w:hAnsi="Times New Roman" w:eastAsia="方正黑体简体"/>
          <w:sz w:val="30"/>
          <w:szCs w:val="30"/>
          <w:highlight w:val="none"/>
          <w:lang w:val="en-US" w:eastAsia="zh-CN"/>
        </w:rPr>
        <w:t xml:space="preserve">               </w:t>
      </w:r>
      <w:r>
        <w:rPr>
          <w:rFonts w:hint="eastAsia" w:ascii="Times New Roman" w:hAnsi="Times New Roman" w:eastAsia="方正黑体简体"/>
          <w:sz w:val="30"/>
          <w:szCs w:val="30"/>
          <w:highlight w:val="none"/>
        </w:rPr>
        <w:t xml:space="preserve">        </w:t>
      </w:r>
      <w:r>
        <w:rPr>
          <w:rFonts w:ascii="Times New Roman" w:hAnsi="Times New Roman" w:eastAsia="方正黑体简体"/>
          <w:sz w:val="30"/>
          <w:szCs w:val="30"/>
          <w:highlight w:val="none"/>
        </w:rPr>
        <w:t>3</w:t>
      </w: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hint="default" w:ascii="Times New Roman" w:hAnsi="Times New Roman" w:eastAsia="方正黑体简体"/>
          <w:sz w:val="30"/>
          <w:szCs w:val="30"/>
          <w:highlight w:val="none"/>
          <w:lang w:val="en-US" w:eastAsia="zh-CN"/>
        </w:rPr>
      </w:pPr>
      <w:r>
        <w:rPr>
          <w:rFonts w:hint="eastAsia" w:ascii="Times New Roman" w:hAnsi="Times New Roman" w:eastAsia="方正黑体简体"/>
          <w:sz w:val="30"/>
          <w:szCs w:val="30"/>
          <w:highlight w:val="none"/>
        </w:rPr>
        <w:t xml:space="preserve">二、审计执业问题分析                           </w:t>
      </w:r>
      <w:r>
        <w:rPr>
          <w:rFonts w:hint="eastAsia" w:ascii="Times New Roman" w:hAnsi="Times New Roman" w:eastAsia="方正黑体简体"/>
          <w:sz w:val="30"/>
          <w:szCs w:val="30"/>
          <w:highlight w:val="none"/>
          <w:lang w:val="en-US" w:eastAsia="zh-CN"/>
        </w:rPr>
        <w:t>7</w:t>
      </w: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hint="default" w:ascii="Times New Roman" w:hAnsi="Times New Roman" w:eastAsia="方正黑体简体"/>
          <w:sz w:val="30"/>
          <w:szCs w:val="30"/>
          <w:highlight w:val="none"/>
          <w:lang w:val="en-US" w:eastAsia="zh-CN"/>
        </w:rPr>
      </w:pPr>
      <w:r>
        <w:rPr>
          <w:rFonts w:hint="eastAsia" w:ascii="Times New Roman" w:hAnsi="Times New Roman" w:eastAsia="方正黑体简体"/>
          <w:sz w:val="30"/>
          <w:szCs w:val="30"/>
          <w:highlight w:val="none"/>
          <w:lang w:eastAsia="zh-CN"/>
        </w:rPr>
        <w:t>三</w:t>
      </w:r>
      <w:r>
        <w:rPr>
          <w:rFonts w:hint="eastAsia" w:ascii="Times New Roman" w:hAnsi="Times New Roman" w:eastAsia="方正黑体简体"/>
          <w:sz w:val="30"/>
          <w:szCs w:val="30"/>
          <w:highlight w:val="none"/>
        </w:rPr>
        <w:t>、典型</w:t>
      </w:r>
      <w:r>
        <w:rPr>
          <w:rFonts w:hint="eastAsia" w:ascii="Times New Roman" w:hAnsi="Times New Roman" w:eastAsia="方正黑体简体"/>
          <w:sz w:val="30"/>
          <w:szCs w:val="30"/>
          <w:highlight w:val="none"/>
          <w:lang w:eastAsia="zh-CN"/>
        </w:rPr>
        <w:t>会计</w:t>
      </w:r>
      <w:r>
        <w:rPr>
          <w:rFonts w:hint="eastAsia" w:ascii="Times New Roman" w:hAnsi="Times New Roman" w:eastAsia="方正黑体简体"/>
          <w:sz w:val="30"/>
          <w:szCs w:val="30"/>
          <w:highlight w:val="none"/>
        </w:rPr>
        <w:t xml:space="preserve">案例研究    </w:t>
      </w:r>
      <w:r>
        <w:rPr>
          <w:rFonts w:hint="eastAsia" w:ascii="Times New Roman" w:hAnsi="Times New Roman" w:eastAsia="方正黑体简体"/>
          <w:sz w:val="30"/>
          <w:szCs w:val="30"/>
          <w:highlight w:val="none"/>
          <w:lang w:val="en-US" w:eastAsia="zh-CN"/>
        </w:rPr>
        <w:t xml:space="preserve"> </w:t>
      </w:r>
      <w:r>
        <w:rPr>
          <w:rFonts w:hint="eastAsia" w:ascii="Times New Roman" w:hAnsi="Times New Roman" w:eastAsia="方正黑体简体"/>
          <w:sz w:val="30"/>
          <w:szCs w:val="30"/>
          <w:highlight w:val="none"/>
        </w:rPr>
        <w:t xml:space="preserve">                      </w:t>
      </w:r>
      <w:r>
        <w:rPr>
          <w:rFonts w:hint="eastAsia" w:ascii="Times New Roman" w:hAnsi="Times New Roman" w:eastAsia="方正黑体简体"/>
          <w:sz w:val="30"/>
          <w:szCs w:val="30"/>
          <w:highlight w:val="none"/>
          <w:lang w:val="en-US" w:eastAsia="zh-CN"/>
        </w:rPr>
        <w:t>10</w:t>
      </w:r>
    </w:p>
    <w:p>
      <w:pPr>
        <w:spacing w:line="560" w:lineRule="exact"/>
        <w:ind w:right="1050"/>
        <w:textAlignment w:val="center"/>
        <w:rPr>
          <w:rFonts w:ascii="Times New Roman" w:hAnsi="Times New Roman" w:eastAsia="方正黑体简体"/>
          <w:sz w:val="30"/>
          <w:szCs w:val="30"/>
          <w:highlight w:val="none"/>
        </w:rPr>
      </w:pPr>
    </w:p>
    <w:p>
      <w:pPr>
        <w:tabs>
          <w:tab w:val="left" w:pos="709"/>
        </w:tabs>
        <w:spacing w:line="560" w:lineRule="exact"/>
        <w:ind w:right="1050"/>
        <w:textAlignment w:val="center"/>
        <w:rPr>
          <w:rFonts w:hint="default" w:ascii="Times New Roman" w:hAnsi="Times New Roman" w:eastAsia="方正黑体简体"/>
          <w:sz w:val="30"/>
          <w:szCs w:val="30"/>
          <w:highlight w:val="none"/>
          <w:lang w:val="en-US" w:eastAsia="zh-CN"/>
        </w:rPr>
      </w:pPr>
      <w:r>
        <w:rPr>
          <w:rFonts w:hint="eastAsia" w:ascii="Times New Roman" w:hAnsi="Times New Roman" w:eastAsia="方正黑体简体"/>
          <w:sz w:val="30"/>
          <w:szCs w:val="30"/>
          <w:highlight w:val="none"/>
          <w:lang w:eastAsia="zh-CN"/>
        </w:rPr>
        <w:t>四</w:t>
      </w:r>
      <w:r>
        <w:rPr>
          <w:rFonts w:hint="eastAsia" w:ascii="Times New Roman" w:hAnsi="Times New Roman" w:eastAsia="方正黑体简体"/>
          <w:sz w:val="30"/>
          <w:szCs w:val="30"/>
          <w:highlight w:val="none"/>
        </w:rPr>
        <w:t xml:space="preserve">、会计审计政策资讯                           </w:t>
      </w:r>
      <w:r>
        <w:rPr>
          <w:rFonts w:hint="eastAsia" w:ascii="Times New Roman" w:hAnsi="Times New Roman" w:eastAsia="方正黑体简体"/>
          <w:sz w:val="30"/>
          <w:szCs w:val="30"/>
          <w:highlight w:val="none"/>
          <w:lang w:val="en-US" w:eastAsia="zh-CN"/>
        </w:rPr>
        <w:t>24</w:t>
      </w: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jc w:val="left"/>
        <w:textAlignment w:val="center"/>
        <w:rPr>
          <w:rFonts w:ascii="Times New Roman" w:hAnsi="Times New Roman" w:eastAsia="方正黑体简体"/>
          <w:sz w:val="30"/>
          <w:szCs w:val="30"/>
          <w:highlight w:val="none"/>
        </w:rPr>
      </w:pPr>
    </w:p>
    <w:p>
      <w:pPr>
        <w:widowControl/>
        <w:spacing w:line="560" w:lineRule="exact"/>
        <w:textAlignment w:val="center"/>
        <w:rPr>
          <w:rFonts w:ascii="Times New Roman" w:hAnsi="Times New Roman" w:eastAsia="方正小标宋简体" w:cs="Times New Roman"/>
          <w:b/>
          <w:bCs/>
          <w:sz w:val="48"/>
          <w:szCs w:val="48"/>
          <w:highlight w:val="none"/>
        </w:rPr>
        <w:sectPr>
          <w:headerReference r:id="rId5" w:type="first"/>
          <w:footerReference r:id="rId7" w:type="first"/>
          <w:footerReference r:id="rId6" w:type="default"/>
          <w:pgSz w:w="11906" w:h="16157"/>
          <w:pgMar w:top="1440" w:right="1800" w:bottom="1440" w:left="1800" w:header="964" w:footer="1077" w:gutter="0"/>
          <w:pgNumType w:fmt="decimal"/>
          <w:cols w:space="0" w:num="1"/>
          <w:titlePg/>
          <w:docGrid w:type="lines" w:linePitch="316" w:charSpace="0"/>
        </w:sectPr>
      </w:pPr>
      <w:r>
        <w:rPr>
          <w:rFonts w:ascii="Times New Roman" w:hAnsi="Times New Roman" w:eastAsia="方正黑体简体"/>
          <w:sz w:val="30"/>
          <w:szCs w:val="30"/>
          <w:highlight w:val="none"/>
        </w:rPr>
        <w:drawing>
          <wp:anchor distT="0" distB="0" distL="0" distR="0" simplePos="0" relativeHeight="251671552" behindDoc="0" locked="0" layoutInCell="1" allowOverlap="1">
            <wp:simplePos x="0" y="0"/>
            <wp:positionH relativeFrom="page">
              <wp:posOffset>5309870</wp:posOffset>
            </wp:positionH>
            <wp:positionV relativeFrom="paragraph">
              <wp:posOffset>3475355</wp:posOffset>
            </wp:positionV>
            <wp:extent cx="984885" cy="371475"/>
            <wp:effectExtent l="0" t="0" r="5715" b="9525"/>
            <wp:wrapNone/>
            <wp:docPr id="25"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4.png"/>
                    <pic:cNvPicPr>
                      <a:picLocks noChangeAspect="1"/>
                    </pic:cNvPicPr>
                  </pic:nvPicPr>
                  <pic:blipFill>
                    <a:blip r:embed="rId16" cstate="print"/>
                    <a:stretch>
                      <a:fillRect/>
                    </a:stretch>
                  </pic:blipFill>
                  <pic:spPr>
                    <a:xfrm>
                      <a:off x="0" y="0"/>
                      <a:ext cx="984885" cy="371475"/>
                    </a:xfrm>
                    <a:prstGeom prst="rect">
                      <a:avLst/>
                    </a:prstGeom>
                  </pic:spPr>
                </pic:pic>
              </a:graphicData>
            </a:graphic>
          </wp:anchor>
        </w:drawing>
      </w:r>
      <w:r>
        <w:rPr>
          <w:rFonts w:ascii="Times New Roman" w:hAnsi="Times New Roman" w:eastAsia="方正黑体简体"/>
          <w:sz w:val="30"/>
          <w:szCs w:val="30"/>
          <w:highlight w:val="none"/>
        </w:rPr>
        <w:drawing>
          <wp:anchor distT="0" distB="0" distL="0" distR="0" simplePos="0" relativeHeight="251672576" behindDoc="0" locked="0" layoutInCell="1" allowOverlap="1">
            <wp:simplePos x="0" y="0"/>
            <wp:positionH relativeFrom="page">
              <wp:posOffset>6376670</wp:posOffset>
            </wp:positionH>
            <wp:positionV relativeFrom="paragraph">
              <wp:posOffset>3256280</wp:posOffset>
            </wp:positionV>
            <wp:extent cx="363220" cy="485775"/>
            <wp:effectExtent l="0" t="0" r="2540" b="1905"/>
            <wp:wrapNone/>
            <wp:docPr id="26"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5.png"/>
                    <pic:cNvPicPr>
                      <a:picLocks noChangeAspect="1"/>
                    </pic:cNvPicPr>
                  </pic:nvPicPr>
                  <pic:blipFill>
                    <a:blip r:embed="rId17" cstate="print"/>
                    <a:stretch>
                      <a:fillRect/>
                    </a:stretch>
                  </pic:blipFill>
                  <pic:spPr>
                    <a:xfrm>
                      <a:off x="0" y="0"/>
                      <a:ext cx="363220" cy="485775"/>
                    </a:xfrm>
                    <a:prstGeom prst="rect">
                      <a:avLst/>
                    </a:prstGeom>
                  </pic:spPr>
                </pic:pic>
              </a:graphicData>
            </a:graphic>
          </wp:anchor>
        </w:drawing>
      </w:r>
      <w:r>
        <w:rPr>
          <w:rFonts w:hint="eastAsia" w:ascii="Times New Roman" w:hAnsi="Times New Roman" w:eastAsia="方正小标宋简体" w:cs="Times New Roman"/>
          <w:b/>
          <w:bCs/>
          <w:sz w:val="48"/>
          <w:szCs w:val="48"/>
          <w:highlight w:val="none"/>
        </w:rPr>
        <w:drawing>
          <wp:anchor distT="0" distB="0" distL="114300" distR="114300" simplePos="0" relativeHeight="251670528" behindDoc="1" locked="0" layoutInCell="1" allowOverlap="1">
            <wp:simplePos x="0" y="0"/>
            <wp:positionH relativeFrom="column">
              <wp:posOffset>-2619375</wp:posOffset>
            </wp:positionH>
            <wp:positionV relativeFrom="page">
              <wp:posOffset>5835650</wp:posOffset>
            </wp:positionV>
            <wp:extent cx="4616450" cy="5760085"/>
            <wp:effectExtent l="0" t="0" r="0" b="0"/>
            <wp:wrapNone/>
            <wp:docPr id="27" name="图片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logo"/>
                    <pic:cNvPicPr>
                      <a:picLocks noChangeAspect="1"/>
                    </pic:cNvPicPr>
                  </pic:nvPicPr>
                  <pic:blipFill>
                    <a:blip r:embed="rId18"/>
                    <a:stretch>
                      <a:fillRect/>
                    </a:stretch>
                  </pic:blipFill>
                  <pic:spPr>
                    <a:xfrm>
                      <a:off x="0" y="0"/>
                      <a:ext cx="4616450" cy="5760085"/>
                    </a:xfrm>
                    <a:prstGeom prst="rect">
                      <a:avLst/>
                    </a:prstGeom>
                  </pic:spPr>
                </pic:pic>
              </a:graphicData>
            </a:graphic>
          </wp:anchor>
        </w:drawing>
      </w:r>
    </w:p>
    <w:p>
      <w:pPr>
        <w:widowControl/>
        <w:spacing w:line="560" w:lineRule="exact"/>
        <w:textAlignment w:val="center"/>
        <w:rPr>
          <w:rFonts w:ascii="Times New Roman" w:hAnsi="Times New Roman" w:eastAsia="方正小标宋简体" w:cs="Times New Roman"/>
          <w:b/>
          <w:bCs/>
          <w:sz w:val="48"/>
          <w:szCs w:val="48"/>
          <w:highlight w:val="none"/>
        </w:rPr>
      </w:pPr>
    </w:p>
    <w:p>
      <w:pPr>
        <w:spacing w:line="560" w:lineRule="exact"/>
        <w:jc w:val="center"/>
        <w:textAlignment w:val="center"/>
        <w:rPr>
          <w:rFonts w:ascii="Times New Roman" w:hAnsi="Times New Roman" w:eastAsia="方正小标宋简体"/>
          <w:b/>
          <w:bCs/>
          <w:sz w:val="48"/>
          <w:szCs w:val="48"/>
          <w:highlight w:val="none"/>
        </w:rPr>
      </w:pPr>
      <w:r>
        <w:rPr>
          <w:rFonts w:hint="eastAsia" w:ascii="Times New Roman" w:hAnsi="Times New Roman" w:eastAsia="方正小标宋简体"/>
          <w:b/>
          <w:bCs/>
          <w:sz w:val="48"/>
          <w:szCs w:val="48"/>
          <w:highlight w:val="none"/>
        </w:rPr>
        <w:t>深圳证券交易所会计监管动态</w:t>
      </w:r>
    </w:p>
    <w:p>
      <w:pPr>
        <w:spacing w:line="560" w:lineRule="exact"/>
        <w:ind w:right="-147" w:rightChars="-70"/>
        <w:jc w:val="center"/>
        <w:textAlignment w:val="center"/>
        <w:rPr>
          <w:rFonts w:ascii="Times New Roman" w:hAnsi="Times New Roman" w:eastAsia="方正仿宋简体"/>
          <w:sz w:val="30"/>
          <w:szCs w:val="30"/>
          <w:highlight w:val="none"/>
        </w:rPr>
      </w:pPr>
    </w:p>
    <w:p>
      <w:pPr>
        <w:spacing w:line="560" w:lineRule="exact"/>
        <w:jc w:val="center"/>
        <w:textAlignment w:val="center"/>
        <w:rPr>
          <w:rFonts w:ascii="Times New Roman" w:hAnsi="Times New Roman" w:eastAsia="楷体_GB2312"/>
          <w:sz w:val="32"/>
          <w:highlight w:val="none"/>
        </w:rPr>
      </w:pPr>
      <w:r>
        <w:rPr>
          <w:rFonts w:ascii="Times New Roman" w:hAnsi="Times New Roman" w:eastAsia="楷体_GB2312"/>
          <w:sz w:val="32"/>
          <w:highlight w:val="none"/>
        </w:rPr>
        <w:t>20</w:t>
      </w:r>
      <w:r>
        <w:rPr>
          <w:rFonts w:hint="eastAsia" w:ascii="Times New Roman" w:hAnsi="Times New Roman" w:eastAsia="楷体_GB2312"/>
          <w:sz w:val="32"/>
          <w:highlight w:val="none"/>
        </w:rPr>
        <w:t>2</w:t>
      </w:r>
      <w:r>
        <w:rPr>
          <w:rFonts w:hint="eastAsia" w:ascii="Times New Roman" w:hAnsi="Times New Roman" w:eastAsia="楷体_GB2312"/>
          <w:sz w:val="32"/>
          <w:highlight w:val="none"/>
          <w:lang w:val="en-US" w:eastAsia="zh-CN"/>
        </w:rPr>
        <w:t>5</w:t>
      </w:r>
      <w:r>
        <w:rPr>
          <w:rFonts w:ascii="Times New Roman" w:hAnsi="Times New Roman" w:eastAsia="楷体_GB2312"/>
          <w:sz w:val="32"/>
          <w:highlight w:val="none"/>
        </w:rPr>
        <w:t>年第</w:t>
      </w:r>
      <w:r>
        <w:rPr>
          <w:rFonts w:hint="default" w:ascii="Times New Roman" w:hAnsi="Times New Roman" w:eastAsia="楷体_GB2312"/>
          <w:sz w:val="32"/>
          <w:highlight w:val="none"/>
          <w:lang w:val="en-US" w:eastAsia="zh-CN"/>
        </w:rPr>
        <w:t>3</w:t>
      </w:r>
      <w:r>
        <w:rPr>
          <w:rFonts w:ascii="Times New Roman" w:hAnsi="Times New Roman" w:eastAsia="楷体_GB2312"/>
          <w:sz w:val="32"/>
          <w:highlight w:val="none"/>
        </w:rPr>
        <w:t>期（总第</w:t>
      </w:r>
      <w:r>
        <w:rPr>
          <w:rFonts w:hint="eastAsia" w:ascii="Times New Roman" w:hAnsi="Times New Roman" w:eastAsia="楷体_GB2312"/>
          <w:sz w:val="32"/>
          <w:highlight w:val="none"/>
          <w:lang w:val="en-US" w:eastAsia="zh-CN"/>
        </w:rPr>
        <w:t>1</w:t>
      </w:r>
      <w:r>
        <w:rPr>
          <w:rFonts w:hint="default" w:ascii="Times New Roman" w:hAnsi="Times New Roman" w:eastAsia="楷体_GB2312"/>
          <w:sz w:val="32"/>
          <w:highlight w:val="none"/>
          <w:lang w:val="en-US" w:eastAsia="zh-CN"/>
        </w:rPr>
        <w:t>3</w:t>
      </w:r>
      <w:r>
        <w:rPr>
          <w:rFonts w:ascii="Times New Roman" w:hAnsi="Times New Roman" w:eastAsia="楷体_GB2312"/>
          <w:sz w:val="32"/>
          <w:highlight w:val="none"/>
        </w:rPr>
        <w:t>期）</w:t>
      </w:r>
    </w:p>
    <w:p>
      <w:pPr>
        <w:spacing w:line="560" w:lineRule="exact"/>
        <w:ind w:right="-147" w:rightChars="-70"/>
        <w:textAlignment w:val="center"/>
        <w:rPr>
          <w:rFonts w:ascii="Times New Roman" w:hAnsi="Times New Roman" w:eastAsia="方正仿宋简体"/>
          <w:sz w:val="30"/>
          <w:szCs w:val="30"/>
          <w:highlight w:val="none"/>
        </w:rPr>
      </w:pPr>
    </w:p>
    <w:p>
      <w:pPr>
        <w:spacing w:line="560" w:lineRule="exact"/>
        <w:textAlignment w:val="center"/>
        <w:rPr>
          <w:rFonts w:ascii="Times New Roman" w:hAnsi="Times New Roman" w:eastAsia="楷体_GB2312"/>
          <w:sz w:val="32"/>
          <w:highlight w:val="none"/>
        </w:rPr>
      </w:pPr>
      <w:r>
        <w:rPr>
          <w:rFonts w:ascii="Times New Roman" w:hAnsi="Times New Roman" w:eastAsia="楷体_GB2312"/>
          <w:sz w:val="32"/>
          <w:highlight w:val="none"/>
        </w:rPr>
        <w:t>深圳证券交易所</w:t>
      </w:r>
      <w:r>
        <w:rPr>
          <w:rFonts w:hint="eastAsia" w:ascii="Times New Roman" w:hAnsi="Times New Roman" w:eastAsia="楷体_GB2312"/>
          <w:sz w:val="32"/>
          <w:highlight w:val="none"/>
        </w:rPr>
        <w:t>会计监管部</w:t>
      </w:r>
      <w:r>
        <w:rPr>
          <w:rFonts w:ascii="Times New Roman" w:hAnsi="Times New Roman" w:eastAsia="楷体_GB2312"/>
          <w:sz w:val="32"/>
          <w:highlight w:val="none"/>
        </w:rPr>
        <w:t xml:space="preserve">            20</w:t>
      </w:r>
      <w:r>
        <w:rPr>
          <w:rFonts w:hint="eastAsia" w:ascii="Times New Roman" w:hAnsi="Times New Roman" w:eastAsia="楷体_GB2312"/>
          <w:sz w:val="32"/>
          <w:highlight w:val="none"/>
        </w:rPr>
        <w:t>2</w:t>
      </w:r>
      <w:r>
        <w:rPr>
          <w:rFonts w:hint="eastAsia" w:ascii="Times New Roman" w:hAnsi="Times New Roman" w:eastAsia="楷体_GB2312"/>
          <w:sz w:val="32"/>
          <w:highlight w:val="none"/>
          <w:lang w:val="en-US" w:eastAsia="zh-CN"/>
        </w:rPr>
        <w:t>5</w:t>
      </w:r>
      <w:r>
        <w:rPr>
          <w:rFonts w:ascii="Times New Roman" w:hAnsi="Times New Roman" w:eastAsia="楷体_GB2312"/>
          <w:sz w:val="32"/>
          <w:highlight w:val="none"/>
        </w:rPr>
        <w:t>年</w:t>
      </w:r>
      <w:r>
        <w:rPr>
          <w:rFonts w:hint="default" w:ascii="Times New Roman" w:hAnsi="Times New Roman" w:eastAsia="楷体_GB2312"/>
          <w:sz w:val="32"/>
          <w:highlight w:val="none"/>
          <w:lang w:val="en-US" w:eastAsia="zh-CN"/>
        </w:rPr>
        <w:t>10</w:t>
      </w:r>
      <w:r>
        <w:rPr>
          <w:rFonts w:ascii="Times New Roman" w:hAnsi="Times New Roman" w:eastAsia="楷体_GB2312"/>
          <w:sz w:val="32"/>
          <w:highlight w:val="none"/>
        </w:rPr>
        <w:t>月</w:t>
      </w:r>
      <w:r>
        <w:rPr>
          <w:rFonts w:hint="eastAsia" w:ascii="Times New Roman" w:hAnsi="Times New Roman" w:eastAsia="楷体_GB2312"/>
          <w:sz w:val="32"/>
          <w:highlight w:val="none"/>
          <w:lang w:val="en-US" w:eastAsia="zh-CN"/>
        </w:rPr>
        <w:t>3</w:t>
      </w:r>
      <w:r>
        <w:rPr>
          <w:rFonts w:hint="default" w:ascii="Times New Roman" w:hAnsi="Times New Roman" w:eastAsia="楷体_GB2312"/>
          <w:sz w:val="32"/>
          <w:highlight w:val="none"/>
          <w:lang w:val="en-US" w:eastAsia="zh-CN"/>
        </w:rPr>
        <w:t>1</w:t>
      </w:r>
      <w:r>
        <w:rPr>
          <w:rFonts w:ascii="Times New Roman" w:hAnsi="Times New Roman" w:eastAsia="楷体_GB2312"/>
          <w:sz w:val="32"/>
          <w:highlight w:val="none"/>
        </w:rPr>
        <w:t>日</w:t>
      </w:r>
    </w:p>
    <w:p>
      <w:pPr>
        <w:spacing w:line="560" w:lineRule="exact"/>
        <w:textAlignment w:val="center"/>
        <w:rPr>
          <w:rFonts w:ascii="Times New Roman" w:hAnsi="Times New Roman" w:eastAsia="黑体"/>
          <w:b/>
          <w:sz w:val="30"/>
          <w:szCs w:val="22"/>
          <w:highlight w:val="none"/>
        </w:rPr>
      </w:pPr>
      <w:r>
        <w:rPr>
          <w:rFonts w:ascii="Times New Roman" w:hAnsi="Times New Roman"/>
          <w:sz w:val="20"/>
          <w:highlight w:val="none"/>
        </w:rPr>
        <mc:AlternateContent>
          <mc:Choice Requires="wps">
            <w:drawing>
              <wp:anchor distT="0" distB="0" distL="114300" distR="114300" simplePos="0" relativeHeight="251674624" behindDoc="0" locked="0" layoutInCell="1" allowOverlap="1">
                <wp:simplePos x="0" y="0"/>
                <wp:positionH relativeFrom="column">
                  <wp:posOffset>1905</wp:posOffset>
                </wp:positionH>
                <wp:positionV relativeFrom="paragraph">
                  <wp:posOffset>33020</wp:posOffset>
                </wp:positionV>
                <wp:extent cx="5463540" cy="0"/>
                <wp:effectExtent l="42545" t="13970" r="56515" b="92710"/>
                <wp:wrapNone/>
                <wp:docPr id="28" name="直接连接符 28"/>
                <wp:cNvGraphicFramePr/>
                <a:graphic xmlns:a="http://schemas.openxmlformats.org/drawingml/2006/main">
                  <a:graphicData uri="http://schemas.microsoft.com/office/word/2010/wordprocessingShape">
                    <wps:wsp>
                      <wps:cNvCnPr>
                        <a:cxnSpLocks noChangeShapeType="1"/>
                      </wps:cNvCnPr>
                      <wps:spPr bwMode="auto">
                        <a:xfrm>
                          <a:off x="0" y="0"/>
                          <a:ext cx="5463540" cy="0"/>
                        </a:xfrm>
                        <a:prstGeom prst="line">
                          <a:avLst/>
                        </a:prstGeom>
                        <a:noFill/>
                        <a:ln w="19050" cmpd="sng">
                          <a:solidFill>
                            <a:schemeClr val="accent1"/>
                          </a:solidFill>
                          <a:round/>
                        </a:ln>
                        <a:effectLst>
                          <a:outerShdw blurRad="50800" dist="38100" dir="5400000" algn="t" rotWithShape="0">
                            <a:prstClr val="black">
                              <a:alpha val="40000"/>
                            </a:prstClr>
                          </a:outerShdw>
                        </a:effectLst>
                      </wps:spPr>
                      <wps:bodyPr/>
                    </wps:wsp>
                  </a:graphicData>
                </a:graphic>
              </wp:anchor>
            </w:drawing>
          </mc:Choice>
          <mc:Fallback>
            <w:pict>
              <v:line id="_x0000_s1026" o:spid="_x0000_s1026" o:spt="20" style="position:absolute;left:0pt;margin-left:0.15pt;margin-top:2.6pt;height:0pt;width:430.2pt;z-index:251674624;mso-width-relative:page;mso-height-relative:page;" filled="f" stroked="t" coordsize="21600,21600" o:gfxdata="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59Pi9MAAAAEAQAADwAAAAAAAAABACAAAAAiAAAA&#10;ZHJzL2Rvd25yZXYueG1sUEsBAhQAFAAAAAgAh07iQMoj8odFAgAAbAQAAA4AAAAAAAAAAQAgAAAA&#10;IgEAAGRycy9lMm9Eb2MueG1sUEsFBgAAAAAGAAYAWQEAANkFAAAAAA==&#10;">
                <v:fill on="f" focussize="0,0"/>
                <v:stroke weight="1.5pt" color="#5B9BD5 [3204]" joinstyle="round"/>
                <v:imagedata o:title=""/>
                <o:lock v:ext="edit" aspectratio="f"/>
                <v:shadow on="t" color="#000000" opacity="26214f" offset="0pt,3pt" origin="0f,-32768f" matrix="65536f,0f,0f,65536f"/>
              </v:line>
            </w:pict>
          </mc:Fallback>
        </mc:AlternateContent>
      </w:r>
    </w:p>
    <w:p>
      <w:pPr>
        <w:shd w:val="clear"/>
        <w:topLinePunct/>
        <w:adjustRightInd w:val="0"/>
        <w:snapToGrid w:val="0"/>
        <w:spacing w:line="560" w:lineRule="exact"/>
        <w:ind w:firstLine="640" w:firstLineChars="200"/>
        <w:rPr>
          <w:rFonts w:hint="eastAsia" w:ascii="仿宋" w:hAnsi="仿宋" w:eastAsia="仿宋" w:cs="仿宋"/>
          <w:color w:val="000000"/>
          <w:sz w:val="32"/>
          <w:szCs w:val="32"/>
          <w:highlight w:val="none"/>
          <w:lang w:eastAsia="zh-CN"/>
        </w:rPr>
      </w:pPr>
      <w:r>
        <w:rPr>
          <w:rFonts w:hint="eastAsia" w:ascii="黑体" w:hAnsi="黑体" w:eastAsia="黑体" w:cs="Times New Roman"/>
          <w:color w:val="000000"/>
          <w:sz w:val="32"/>
          <w:szCs w:val="32"/>
          <w:highlight w:val="none"/>
        </w:rPr>
        <w:t>编者按：</w:t>
      </w:r>
      <w:r>
        <w:rPr>
          <w:rFonts w:hint="eastAsia" w:ascii="仿宋" w:hAnsi="仿宋" w:eastAsia="仿宋" w:cs="仿宋"/>
          <w:color w:val="000000"/>
          <w:sz w:val="32"/>
          <w:szCs w:val="32"/>
          <w:highlight w:val="none"/>
          <w:lang w:eastAsia="zh-CN"/>
        </w:rPr>
        <w:t>“十四五”时期，我国资本市场实现了量质齐升，特别是新“国九条”和资本市场“1+N”政策体系发布实施以来，资本市场基础制度和监管底层逻辑得到全方位重构，多层次市场体系更加完备，市场功能不断健全，市场韧性明显增强，市场生态持续净化。资本市场健康有序发展，离不开市场参与主体的共同努力和大力支持。审计机构作为</w:t>
      </w:r>
      <w:r>
        <w:rPr>
          <w:rFonts w:hint="eastAsia" w:ascii="仿宋" w:hAnsi="仿宋" w:eastAsia="仿宋" w:cs="仿宋"/>
          <w:color w:val="000000"/>
          <w:sz w:val="32"/>
          <w:szCs w:val="32"/>
          <w:highlight w:val="none"/>
          <w:lang w:eastAsia="zh"/>
        </w:rPr>
        <w:t>资本市场</w:t>
      </w:r>
      <w:r>
        <w:rPr>
          <w:rFonts w:hint="eastAsia" w:ascii="仿宋" w:hAnsi="仿宋" w:eastAsia="仿宋" w:cs="仿宋"/>
          <w:color w:val="000000"/>
          <w:sz w:val="32"/>
          <w:szCs w:val="32"/>
          <w:highlight w:val="none"/>
          <w:lang w:eastAsia="zh-CN"/>
        </w:rPr>
        <w:t>重要参与主体，肩负着</w:t>
      </w:r>
      <w:r>
        <w:rPr>
          <w:rFonts w:hint="eastAsia" w:ascii="仿宋" w:hAnsi="仿宋" w:eastAsia="仿宋" w:cs="仿宋"/>
          <w:color w:val="000000"/>
          <w:sz w:val="32"/>
          <w:szCs w:val="32"/>
          <w:highlight w:val="none"/>
          <w:lang w:eastAsia="zh"/>
        </w:rPr>
        <w:t>共同</w:t>
      </w:r>
      <w:r>
        <w:rPr>
          <w:rFonts w:hint="eastAsia" w:ascii="仿宋" w:hAnsi="仿宋" w:eastAsia="仿宋" w:cs="仿宋"/>
          <w:color w:val="000000"/>
          <w:sz w:val="32"/>
          <w:szCs w:val="32"/>
          <w:highlight w:val="none"/>
          <w:lang w:eastAsia="zh-CN"/>
        </w:rPr>
        <w:t>维护经济秩序、监督经济活动的重要使命。在资本市场高质量发展的进程中，</w:t>
      </w:r>
      <w:r>
        <w:rPr>
          <w:rFonts w:hint="eastAsia" w:ascii="仿宋" w:hAnsi="仿宋" w:eastAsia="仿宋" w:cs="仿宋"/>
          <w:color w:val="000000"/>
          <w:sz w:val="32"/>
          <w:szCs w:val="32"/>
          <w:highlight w:val="none"/>
          <w:lang w:eastAsia="zh"/>
        </w:rPr>
        <w:t>审计机构</w:t>
      </w:r>
      <w:r>
        <w:rPr>
          <w:rFonts w:hint="eastAsia" w:ascii="仿宋" w:hAnsi="仿宋" w:eastAsia="仿宋" w:cs="仿宋"/>
          <w:color w:val="000000"/>
          <w:sz w:val="32"/>
          <w:szCs w:val="32"/>
          <w:highlight w:val="none"/>
          <w:lang w:eastAsia="zh-CN"/>
        </w:rPr>
        <w:t>要努力提升专业能力和市场声誉，在资本市场改革发展中实现自身高质量发展。</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为帮助</w:t>
      </w:r>
      <w:r>
        <w:rPr>
          <w:rFonts w:hint="eastAsia" w:ascii="仿宋" w:hAnsi="仿宋" w:eastAsia="仿宋" w:cs="仿宋"/>
          <w:color w:val="000000"/>
          <w:sz w:val="32"/>
          <w:szCs w:val="32"/>
          <w:highlight w:val="none"/>
          <w:lang w:eastAsia="zh-CN"/>
        </w:rPr>
        <w:t>会计师事务所</w:t>
      </w:r>
      <w:r>
        <w:rPr>
          <w:rFonts w:hint="eastAsia" w:ascii="仿宋" w:hAnsi="仿宋" w:eastAsia="仿宋" w:cs="仿宋"/>
          <w:color w:val="000000"/>
          <w:sz w:val="32"/>
          <w:szCs w:val="32"/>
          <w:highlight w:val="none"/>
        </w:rPr>
        <w:t>了解和把握新形势下的监管要求，</w:t>
      </w:r>
      <w:r>
        <w:rPr>
          <w:rFonts w:hint="eastAsia" w:ascii="仿宋" w:hAnsi="仿宋" w:eastAsia="仿宋" w:cs="仿宋"/>
          <w:color w:val="000000"/>
          <w:sz w:val="32"/>
          <w:szCs w:val="32"/>
          <w:highlight w:val="none"/>
          <w:lang w:eastAsia="zh-CN"/>
        </w:rPr>
        <w:t>增强风险防范意识，</w:t>
      </w:r>
      <w:r>
        <w:rPr>
          <w:rFonts w:hint="eastAsia" w:ascii="仿宋" w:hAnsi="仿宋" w:eastAsia="仿宋" w:cs="仿宋"/>
          <w:color w:val="000000"/>
          <w:sz w:val="32"/>
          <w:szCs w:val="32"/>
          <w:highlight w:val="none"/>
        </w:rPr>
        <w:t>本期《深圳证券交易所会计监管动态》介绍了</w:t>
      </w:r>
      <w:r>
        <w:rPr>
          <w:rFonts w:hint="eastAsia" w:ascii="仿宋" w:hAnsi="仿宋" w:eastAsia="仿宋" w:cs="仿宋"/>
          <w:color w:val="000000"/>
          <w:sz w:val="32"/>
          <w:szCs w:val="32"/>
          <w:highlight w:val="none"/>
          <w:lang w:eastAsia="zh-CN"/>
        </w:rPr>
        <w:t>近期行政处罚和纪律处分涉及的</w:t>
      </w:r>
      <w:r>
        <w:rPr>
          <w:rFonts w:hint="eastAsia" w:ascii="仿宋" w:hAnsi="仿宋" w:eastAsia="仿宋" w:cs="仿宋"/>
          <w:color w:val="000000"/>
          <w:sz w:val="32"/>
          <w:szCs w:val="32"/>
          <w:highlight w:val="none"/>
          <w:lang w:val="en-US" w:eastAsia="zh-CN"/>
        </w:rPr>
        <w:t>典型执业质量问题、审计执业难点分析和</w:t>
      </w:r>
      <w:r>
        <w:rPr>
          <w:rFonts w:hint="eastAsia" w:ascii="仿宋" w:hAnsi="仿宋" w:eastAsia="仿宋" w:cs="仿宋"/>
          <w:color w:val="000000"/>
          <w:sz w:val="32"/>
          <w:szCs w:val="32"/>
          <w:highlight w:val="none"/>
        </w:rPr>
        <w:t>会计</w:t>
      </w:r>
      <w:r>
        <w:rPr>
          <w:rFonts w:hint="eastAsia" w:ascii="仿宋" w:hAnsi="仿宋" w:eastAsia="仿宋" w:cs="仿宋"/>
          <w:color w:val="000000"/>
          <w:sz w:val="32"/>
          <w:szCs w:val="32"/>
          <w:highlight w:val="none"/>
          <w:lang w:eastAsia="zh-CN"/>
        </w:rPr>
        <w:t>案例分析</w:t>
      </w:r>
      <w:r>
        <w:rPr>
          <w:rFonts w:hint="eastAsia" w:ascii="仿宋" w:hAnsi="仿宋" w:eastAsia="仿宋" w:cs="仿宋"/>
          <w:color w:val="000000"/>
          <w:sz w:val="32"/>
          <w:szCs w:val="32"/>
          <w:highlight w:val="none"/>
        </w:rPr>
        <w:t>。</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lang w:eastAsia="zh-CN"/>
        </w:rPr>
        <w:t>审计执业难点</w:t>
      </w:r>
      <w:r>
        <w:rPr>
          <w:rFonts w:hint="eastAsia" w:ascii="仿宋" w:hAnsi="仿宋" w:eastAsia="仿宋" w:cs="仿宋"/>
          <w:color w:val="000000"/>
          <w:sz w:val="32"/>
          <w:szCs w:val="32"/>
          <w:highlight w:val="none"/>
        </w:rPr>
        <w:t>方面，</w:t>
      </w:r>
      <w:r>
        <w:rPr>
          <w:rFonts w:hint="eastAsia" w:ascii="仿宋" w:hAnsi="仿宋" w:eastAsia="仿宋" w:cs="仿宋"/>
          <w:color w:val="000000"/>
          <w:sz w:val="32"/>
          <w:szCs w:val="32"/>
          <w:highlight w:val="none"/>
          <w:lang w:val="en-US" w:eastAsia="zh-CN"/>
        </w:rPr>
        <w:t>结合审计执业案例</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rPr>
        <w:t>重点介绍了</w:t>
      </w:r>
      <w:r>
        <w:rPr>
          <w:rFonts w:hint="eastAsia" w:ascii="仿宋" w:hAnsi="仿宋" w:eastAsia="仿宋" w:cs="仿宋"/>
          <w:color w:val="000000"/>
          <w:sz w:val="32"/>
          <w:szCs w:val="32"/>
          <w:highlight w:val="none"/>
          <w:lang w:val="en-US" w:eastAsia="zh-CN"/>
        </w:rPr>
        <w:t>审计机构开展境外</w:t>
      </w:r>
      <w:r>
        <w:rPr>
          <w:rFonts w:hint="eastAsia" w:ascii="仿宋" w:hAnsi="仿宋" w:eastAsia="仿宋" w:cs="仿宋"/>
          <w:color w:val="000000"/>
          <w:sz w:val="32"/>
          <w:szCs w:val="32"/>
          <w:highlight w:val="none"/>
          <w:lang w:val="en-US" w:eastAsia="zh"/>
        </w:rPr>
        <w:t>业务</w:t>
      </w:r>
      <w:r>
        <w:rPr>
          <w:rFonts w:hint="eastAsia" w:ascii="仿宋" w:hAnsi="仿宋" w:eastAsia="仿宋" w:cs="仿宋"/>
          <w:color w:val="000000"/>
          <w:sz w:val="32"/>
          <w:szCs w:val="32"/>
          <w:highlight w:val="none"/>
          <w:lang w:val="en-US" w:eastAsia="zh-CN"/>
        </w:rPr>
        <w:t>审计存在的典型</w:t>
      </w:r>
      <w:r>
        <w:rPr>
          <w:rFonts w:hint="eastAsia" w:ascii="仿宋" w:hAnsi="仿宋" w:eastAsia="仿宋" w:cs="仿宋"/>
          <w:color w:val="000000"/>
          <w:sz w:val="32"/>
          <w:szCs w:val="32"/>
          <w:highlight w:val="none"/>
        </w:rPr>
        <w:t>执业质量问题</w:t>
      </w:r>
      <w:r>
        <w:rPr>
          <w:rFonts w:hint="eastAsia" w:ascii="仿宋" w:hAnsi="仿宋" w:eastAsia="仿宋" w:cs="仿宋"/>
          <w:color w:val="000000"/>
          <w:sz w:val="32"/>
          <w:szCs w:val="32"/>
          <w:highlight w:val="none"/>
          <w:lang w:val="en-US" w:eastAsia="zh-CN"/>
        </w:rPr>
        <w:t>，分析审计执业中如何利用好境外组成部分会计师工作，以及对境外业务执行审计程序</w:t>
      </w:r>
      <w:r>
        <w:rPr>
          <w:rFonts w:hint="eastAsia" w:ascii="仿宋" w:hAnsi="仿宋" w:eastAsia="仿宋" w:cs="仿宋"/>
          <w:color w:val="000000"/>
          <w:sz w:val="32"/>
          <w:szCs w:val="32"/>
          <w:highlight w:val="none"/>
          <w:lang w:val="en-US" w:eastAsia="zh"/>
        </w:rPr>
        <w:t>时</w:t>
      </w:r>
      <w:r>
        <w:rPr>
          <w:rFonts w:hint="eastAsia" w:ascii="仿宋" w:hAnsi="仿宋" w:eastAsia="仿宋" w:cs="仿宋"/>
          <w:color w:val="000000"/>
          <w:sz w:val="32"/>
          <w:szCs w:val="32"/>
          <w:highlight w:val="none"/>
          <w:lang w:val="en-US" w:eastAsia="zh-CN"/>
        </w:rPr>
        <w:t>应当关注</w:t>
      </w:r>
      <w:r>
        <w:rPr>
          <w:rFonts w:hint="eastAsia" w:ascii="仿宋" w:hAnsi="仿宋" w:eastAsia="仿宋" w:cs="仿宋"/>
          <w:color w:val="000000"/>
          <w:sz w:val="32"/>
          <w:szCs w:val="32"/>
          <w:highlight w:val="none"/>
          <w:lang w:val="en-US" w:eastAsia="zh"/>
        </w:rPr>
        <w:t>的事项</w:t>
      </w:r>
      <w:r>
        <w:rPr>
          <w:rFonts w:hint="eastAsia" w:ascii="仿宋" w:hAnsi="仿宋" w:eastAsia="仿宋" w:cs="仿宋"/>
          <w:color w:val="000000"/>
          <w:sz w:val="32"/>
          <w:szCs w:val="32"/>
          <w:highlight w:val="none"/>
        </w:rPr>
        <w:t>。</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会计案例方面，本期</w:t>
      </w:r>
      <w:r>
        <w:rPr>
          <w:rFonts w:hint="eastAsia" w:ascii="仿宋" w:hAnsi="仿宋" w:eastAsia="仿宋" w:cs="仿宋"/>
          <w:color w:val="000000"/>
          <w:sz w:val="32"/>
          <w:szCs w:val="32"/>
          <w:highlight w:val="none"/>
          <w:lang w:val="en-US" w:eastAsia="zh-CN"/>
        </w:rPr>
        <w:t>通过两组案例，分析延迟验收情形、质量保证条款对收入确认的影响，以及重组交易中业绩承诺条款差异对会计处理的影响。</w:t>
      </w:r>
      <w:r>
        <w:rPr>
          <w:rFonts w:hint="eastAsia" w:ascii="仿宋" w:hAnsi="仿宋" w:eastAsia="仿宋" w:cs="仿宋"/>
          <w:sz w:val="32"/>
          <w:szCs w:val="32"/>
          <w:highlight w:val="none"/>
          <w:lang w:val="en-US" w:eastAsia="zh-CN"/>
        </w:rPr>
        <w:t>相关问题反映了合同条款和业务实质都</w:t>
      </w:r>
      <w:r>
        <w:rPr>
          <w:rFonts w:hint="eastAsia" w:ascii="仿宋" w:hAnsi="仿宋" w:eastAsia="仿宋" w:cs="仿宋"/>
          <w:sz w:val="32"/>
          <w:szCs w:val="32"/>
          <w:highlight w:val="none"/>
          <w:lang w:val="en-US" w:eastAsia="zh"/>
        </w:rPr>
        <w:t>会</w:t>
      </w:r>
      <w:r>
        <w:rPr>
          <w:rFonts w:hint="eastAsia" w:ascii="仿宋" w:hAnsi="仿宋" w:eastAsia="仿宋" w:cs="仿宋"/>
          <w:sz w:val="32"/>
          <w:szCs w:val="32"/>
          <w:highlight w:val="none"/>
          <w:lang w:val="en-US" w:eastAsia="zh-CN"/>
        </w:rPr>
        <w:t>对会计判断</w:t>
      </w:r>
      <w:r>
        <w:rPr>
          <w:rFonts w:hint="eastAsia" w:ascii="仿宋" w:hAnsi="仿宋" w:eastAsia="仿宋" w:cs="仿宋"/>
          <w:sz w:val="32"/>
          <w:szCs w:val="32"/>
          <w:highlight w:val="none"/>
          <w:lang w:val="en-US" w:eastAsia="zh"/>
        </w:rPr>
        <w:t>产生</w:t>
      </w:r>
      <w:r>
        <w:rPr>
          <w:rFonts w:hint="eastAsia" w:ascii="仿宋" w:hAnsi="仿宋" w:eastAsia="仿宋" w:cs="仿宋"/>
          <w:sz w:val="32"/>
          <w:szCs w:val="32"/>
          <w:highlight w:val="none"/>
          <w:lang w:val="en-US" w:eastAsia="zh-CN"/>
        </w:rPr>
        <w:t>较大影响，审计人员需要通盘考虑相关因素，审慎作出职业判断</w:t>
      </w:r>
      <w:r>
        <w:rPr>
          <w:rFonts w:hint="eastAsia" w:ascii="仿宋" w:hAnsi="仿宋" w:eastAsia="仿宋" w:cs="仿宋"/>
          <w:color w:val="000000"/>
          <w:sz w:val="32"/>
          <w:szCs w:val="32"/>
          <w:highlight w:val="none"/>
        </w:rPr>
        <w:t>。</w:t>
      </w:r>
    </w:p>
    <w:p>
      <w:pPr>
        <w:topLinePunct/>
        <w:adjustRightInd w:val="0"/>
        <w:snapToGrid w:val="0"/>
        <w:spacing w:line="560" w:lineRule="exact"/>
        <w:ind w:firstLine="640" w:firstLineChars="2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会计资讯方面，本期收录了</w:t>
      </w:r>
      <w:r>
        <w:rPr>
          <w:rFonts w:hint="eastAsia" w:ascii="仿宋" w:hAnsi="仿宋" w:eastAsia="仿宋" w:cs="仿宋"/>
          <w:color w:val="000000"/>
          <w:sz w:val="32"/>
          <w:szCs w:val="32"/>
          <w:highlight w:val="none"/>
          <w:lang w:eastAsia="zh-CN"/>
        </w:rPr>
        <w:t>财政部、中国证监会等发布《〈企业可持续披露准则——基本准则（试行）〉应用指南》、中国证监会发布《上市公司2024年年度财务报告会计监管报告》</w:t>
      </w:r>
      <w:r>
        <w:rPr>
          <w:rFonts w:hint="eastAsia" w:ascii="仿宋" w:hAnsi="仿宋" w:eastAsia="仿宋" w:cs="仿宋"/>
          <w:color w:val="000000"/>
          <w:sz w:val="32"/>
          <w:szCs w:val="32"/>
          <w:highlight w:val="none"/>
        </w:rPr>
        <w:t>等通知简讯。</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《深圳证券交易所会计监管动态》不构成对现行《企业会计准则》的解释，仅供会计师事务所内部交流使用，请勿外传。如有任何意见或建议，欢迎扫描封底二维码反馈给我所会计监管部。</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p>
    <w:p>
      <w:pPr>
        <w:topLinePunct w:val="0"/>
        <w:adjustRightInd/>
        <w:snapToGrid/>
        <w:spacing w:line="240" w:lineRule="auto"/>
        <w:ind w:firstLine="0" w:firstLineChars="0"/>
        <w:outlineLvl w:val="9"/>
        <w:rPr>
          <w:rFonts w:hint="eastAsia" w:ascii="黑体" w:hAnsi="黑体" w:eastAsia="黑体" w:cs="Times New Roman"/>
          <w:color w:val="000000"/>
          <w:sz w:val="32"/>
          <w:szCs w:val="32"/>
          <w:highlight w:val="none"/>
        </w:rPr>
      </w:pPr>
      <w:r>
        <w:rPr>
          <w:rFonts w:hint="eastAsia" w:ascii="黑体" w:hAnsi="黑体" w:eastAsia="黑体" w:cs="Times New Roman"/>
          <w:color w:val="000000"/>
          <w:sz w:val="32"/>
          <w:szCs w:val="32"/>
          <w:highlight w:val="none"/>
        </w:rPr>
        <w:br w:type="page"/>
      </w:r>
    </w:p>
    <w:p>
      <w:pPr>
        <w:keepNext w:val="0"/>
        <w:keepLines w:val="0"/>
        <w:pageBreakBefore w:val="0"/>
        <w:kinsoku/>
        <w:wordWrap/>
        <w:topLinePunct/>
        <w:bidi w:val="0"/>
        <w:adjustRightInd w:val="0"/>
        <w:snapToGrid w:val="0"/>
        <w:spacing w:beforeLines="0" w:afterLines="0" w:line="560" w:lineRule="exact"/>
        <w:ind w:firstLine="640" w:firstLineChars="200"/>
        <w:outlineLvl w:val="0"/>
        <w:rPr>
          <w:rFonts w:ascii="黑体" w:hAnsi="黑体" w:eastAsia="黑体" w:cs="Times New Roman"/>
          <w:color w:val="000000"/>
          <w:sz w:val="32"/>
          <w:szCs w:val="32"/>
          <w:highlight w:val="none"/>
        </w:rPr>
      </w:pPr>
      <w:r>
        <w:rPr>
          <w:rFonts w:hint="eastAsia" w:ascii="黑体" w:hAnsi="黑体" w:eastAsia="黑体" w:cs="Times New Roman"/>
          <w:color w:val="000000"/>
          <w:sz w:val="32"/>
          <w:szCs w:val="32"/>
          <w:highlight w:val="none"/>
        </w:rPr>
        <w:t>一、深市会计审计监管通讯</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一</w:t>
      </w:r>
      <w:r>
        <w:rPr>
          <w:rFonts w:hint="eastAsia" w:ascii="楷体" w:hAnsi="楷体" w:eastAsia="楷体" w:cs="Times New Roman"/>
          <w:color w:val="000000"/>
          <w:sz w:val="32"/>
          <w:szCs w:val="32"/>
          <w:highlight w:val="none"/>
        </w:rPr>
        <w:t>）审计评估机构自律监管措施和纪律处分情况</w:t>
      </w:r>
    </w:p>
    <w:p>
      <w:pPr>
        <w:keepNext w:val="0"/>
        <w:keepLines w:val="0"/>
        <w:pageBreakBefore w:val="0"/>
        <w:kinsoku/>
        <w:wordWrap/>
        <w:topLinePunct/>
        <w:bidi w:val="0"/>
        <w:adjustRightInd w:val="0"/>
        <w:snapToGrid w:val="0"/>
        <w:spacing w:beforeLines="0" w:afterLines="0" w:line="560" w:lineRule="exact"/>
        <w:ind w:firstLine="640" w:firstLineChars="200"/>
        <w:rPr>
          <w:rFonts w:hint="eastAsia"/>
          <w:highlight w:val="none"/>
          <w:lang w:val="en-US" w:eastAsia="zh-CN"/>
        </w:rPr>
      </w:pPr>
      <w:r>
        <w:rPr>
          <w:rFonts w:hint="eastAsia" w:ascii="仿宋" w:hAnsi="仿宋" w:eastAsia="仿宋" w:cs="Times New Roman"/>
          <w:color w:val="000000"/>
          <w:sz w:val="32"/>
          <w:szCs w:val="32"/>
          <w:highlight w:val="none"/>
        </w:rPr>
        <w:t>我所</w:t>
      </w:r>
      <w:r>
        <w:rPr>
          <w:rFonts w:hint="eastAsia" w:ascii="仿宋" w:hAnsi="仿宋" w:eastAsia="仿宋" w:cs="Times New Roman"/>
          <w:color w:val="000000"/>
          <w:sz w:val="32"/>
          <w:szCs w:val="32"/>
          <w:highlight w:val="none"/>
          <w:lang w:eastAsia="zh-CN"/>
        </w:rPr>
        <w:t>坚守监管主责主业，</w:t>
      </w:r>
      <w:r>
        <w:rPr>
          <w:rFonts w:hint="eastAsia" w:ascii="仿宋" w:hAnsi="仿宋" w:eastAsia="仿宋" w:cs="Times New Roman"/>
          <w:color w:val="000000"/>
          <w:sz w:val="32"/>
          <w:szCs w:val="32"/>
          <w:highlight w:val="none"/>
        </w:rPr>
        <w:t>围绕推动提高上市公司质量、严把发行上市“入口关”</w:t>
      </w:r>
      <w:r>
        <w:rPr>
          <w:rFonts w:hint="eastAsia" w:ascii="仿宋" w:hAnsi="仿宋" w:eastAsia="仿宋" w:cs="Times New Roman"/>
          <w:color w:val="000000"/>
          <w:sz w:val="32"/>
          <w:szCs w:val="32"/>
          <w:highlight w:val="none"/>
          <w:lang w:eastAsia="zh-CN"/>
        </w:rPr>
        <w:t>目标</w:t>
      </w:r>
      <w:r>
        <w:rPr>
          <w:rFonts w:hint="eastAsia" w:ascii="仿宋" w:hAnsi="仿宋" w:eastAsia="仿宋" w:cs="Times New Roman"/>
          <w:color w:val="000000"/>
          <w:sz w:val="32"/>
          <w:szCs w:val="32"/>
          <w:highlight w:val="none"/>
        </w:rPr>
        <w:t>，按照“零容忍”的工作方针，依规</w:t>
      </w:r>
      <w:r>
        <w:rPr>
          <w:rFonts w:hint="eastAsia" w:ascii="仿宋" w:hAnsi="仿宋" w:eastAsia="仿宋" w:cs="Times New Roman"/>
          <w:color w:val="000000"/>
          <w:sz w:val="32"/>
          <w:szCs w:val="32"/>
          <w:highlight w:val="none"/>
          <w:lang w:eastAsia="zh-CN"/>
        </w:rPr>
        <w:t>对</w:t>
      </w:r>
      <w:r>
        <w:rPr>
          <w:rFonts w:hint="eastAsia" w:ascii="仿宋" w:hAnsi="仿宋" w:eastAsia="仿宋" w:cs="Times New Roman"/>
          <w:color w:val="000000"/>
          <w:sz w:val="32"/>
          <w:szCs w:val="32"/>
          <w:highlight w:val="none"/>
        </w:rPr>
        <w:t>审计评估</w:t>
      </w:r>
      <w:r>
        <w:rPr>
          <w:rFonts w:hint="eastAsia" w:ascii="仿宋" w:hAnsi="仿宋" w:eastAsia="仿宋" w:cs="Times New Roman"/>
          <w:color w:val="000000"/>
          <w:sz w:val="32"/>
          <w:szCs w:val="32"/>
          <w:highlight w:val="none"/>
          <w:lang w:eastAsia="zh-CN"/>
        </w:rPr>
        <w:t>相关</w:t>
      </w:r>
      <w:r>
        <w:rPr>
          <w:rFonts w:hint="eastAsia" w:ascii="仿宋" w:hAnsi="仿宋" w:eastAsia="仿宋" w:cs="Times New Roman"/>
          <w:color w:val="000000"/>
          <w:sz w:val="32"/>
          <w:szCs w:val="32"/>
          <w:highlight w:val="none"/>
        </w:rPr>
        <w:t>违规行为</w:t>
      </w:r>
      <w:r>
        <w:rPr>
          <w:rFonts w:hint="eastAsia" w:ascii="仿宋" w:hAnsi="仿宋" w:eastAsia="仿宋" w:cs="Times New Roman"/>
          <w:color w:val="000000"/>
          <w:sz w:val="32"/>
          <w:szCs w:val="32"/>
          <w:highlight w:val="none"/>
          <w:lang w:eastAsia="zh-CN"/>
        </w:rPr>
        <w:t>作出监管处分</w:t>
      </w:r>
      <w:r>
        <w:rPr>
          <w:rFonts w:hint="eastAsia" w:ascii="仿宋" w:hAnsi="仿宋" w:eastAsia="仿宋" w:cs="Times New Roman"/>
          <w:color w:val="000000"/>
          <w:sz w:val="32"/>
          <w:szCs w:val="32"/>
          <w:highlight w:val="none"/>
        </w:rPr>
        <w:t>。202</w:t>
      </w:r>
      <w:r>
        <w:rPr>
          <w:rFonts w:hint="eastAsia" w:ascii="仿宋" w:hAnsi="仿宋" w:eastAsia="仿宋" w:cs="Times New Roman"/>
          <w:color w:val="000000"/>
          <w:sz w:val="32"/>
          <w:szCs w:val="32"/>
          <w:highlight w:val="none"/>
          <w:lang w:val="en-US" w:eastAsia="zh-CN"/>
        </w:rPr>
        <w:t>5</w:t>
      </w:r>
      <w:r>
        <w:rPr>
          <w:rFonts w:hint="eastAsia" w:ascii="仿宋" w:hAnsi="仿宋" w:eastAsia="仿宋" w:cs="Times New Roman"/>
          <w:color w:val="000000"/>
          <w:sz w:val="32"/>
          <w:szCs w:val="32"/>
          <w:highlight w:val="none"/>
        </w:rPr>
        <w:t>年</w:t>
      </w:r>
      <w:r>
        <w:rPr>
          <w:rFonts w:hint="eastAsia" w:ascii="仿宋" w:hAnsi="仿宋" w:eastAsia="仿宋" w:cs="Times New Roman"/>
          <w:color w:val="000000"/>
          <w:sz w:val="32"/>
          <w:szCs w:val="32"/>
          <w:highlight w:val="none"/>
          <w:lang w:val="en-US" w:eastAsia="zh-CN"/>
        </w:rPr>
        <w:t>8</w:t>
      </w:r>
      <w:r>
        <w:rPr>
          <w:rFonts w:hint="eastAsia" w:ascii="仿宋" w:hAnsi="仿宋" w:eastAsia="仿宋" w:cs="Times New Roman"/>
          <w:color w:val="000000"/>
          <w:sz w:val="32"/>
          <w:szCs w:val="32"/>
          <w:highlight w:val="none"/>
        </w:rPr>
        <w:t>月至</w:t>
      </w:r>
      <w:r>
        <w:rPr>
          <w:rFonts w:hint="eastAsia" w:ascii="仿宋" w:hAnsi="仿宋" w:eastAsia="仿宋" w:cs="Times New Roman"/>
          <w:color w:val="000000"/>
          <w:sz w:val="32"/>
          <w:szCs w:val="32"/>
          <w:highlight w:val="none"/>
          <w:lang w:val="en-US" w:eastAsia="zh-CN"/>
        </w:rPr>
        <w:t>9</w:t>
      </w:r>
      <w:r>
        <w:rPr>
          <w:rFonts w:hint="eastAsia" w:ascii="仿宋" w:hAnsi="仿宋" w:eastAsia="仿宋" w:cs="Times New Roman"/>
          <w:color w:val="000000"/>
          <w:sz w:val="32"/>
          <w:szCs w:val="32"/>
          <w:highlight w:val="none"/>
        </w:rPr>
        <w:t>月，我所共对审计违规行为作出纪律处分决定</w:t>
      </w:r>
      <w:r>
        <w:rPr>
          <w:rFonts w:hint="eastAsia" w:ascii="仿宋" w:hAnsi="仿宋" w:eastAsia="仿宋" w:cs="Times New Roman"/>
          <w:color w:val="000000"/>
          <w:sz w:val="32"/>
          <w:szCs w:val="32"/>
          <w:highlight w:val="none"/>
          <w:lang w:val="en-US" w:eastAsia="zh-CN"/>
        </w:rPr>
        <w:t>3</w:t>
      </w:r>
      <w:r>
        <w:rPr>
          <w:rFonts w:hint="eastAsia" w:ascii="仿宋" w:hAnsi="仿宋" w:eastAsia="仿宋" w:cs="Times New Roman"/>
          <w:color w:val="000000"/>
          <w:sz w:val="32"/>
          <w:szCs w:val="32"/>
          <w:highlight w:val="none"/>
        </w:rPr>
        <w:t>份，涉及</w:t>
      </w:r>
      <w:r>
        <w:rPr>
          <w:rFonts w:hint="eastAsia" w:ascii="仿宋" w:hAnsi="仿宋" w:eastAsia="仿宋" w:cs="Times New Roman"/>
          <w:color w:val="000000"/>
          <w:sz w:val="32"/>
          <w:szCs w:val="32"/>
          <w:highlight w:val="none"/>
          <w:lang w:val="en-US" w:eastAsia="zh-CN"/>
        </w:rPr>
        <w:t>1家审计机构和9</w:t>
      </w:r>
      <w:r>
        <w:rPr>
          <w:rFonts w:hint="eastAsia" w:ascii="仿宋" w:hAnsi="仿宋" w:eastAsia="仿宋" w:cs="Times New Roman"/>
          <w:color w:val="000000"/>
          <w:sz w:val="32"/>
          <w:szCs w:val="32"/>
          <w:highlight w:val="none"/>
        </w:rPr>
        <w:t>人次</w:t>
      </w:r>
      <w:r>
        <w:rPr>
          <w:rFonts w:hint="eastAsia" w:ascii="仿宋" w:hAnsi="仿宋" w:eastAsia="仿宋" w:cs="Times New Roman"/>
          <w:color w:val="000000"/>
          <w:sz w:val="32"/>
          <w:szCs w:val="32"/>
          <w:highlight w:val="none"/>
          <w:lang w:eastAsia="zh-CN"/>
        </w:rPr>
        <w:t>签字注册</w:t>
      </w:r>
      <w:r>
        <w:rPr>
          <w:rFonts w:hint="eastAsia" w:ascii="仿宋" w:hAnsi="仿宋" w:eastAsia="仿宋" w:cs="Times New Roman"/>
          <w:color w:val="000000"/>
          <w:sz w:val="32"/>
          <w:szCs w:val="32"/>
          <w:highlight w:val="none"/>
        </w:rPr>
        <w:t>会计师。相关审计机构执业问题主要表现为：</w:t>
      </w:r>
    </w:p>
    <w:p>
      <w:pPr>
        <w:keepNext w:val="0"/>
        <w:keepLines w:val="0"/>
        <w:pageBreakBefore w:val="0"/>
        <w:kinsoku/>
        <w:wordWrap/>
        <w:overflowPunct/>
        <w:topLinePunct/>
        <w:bidi w:val="0"/>
        <w:adjustRightInd w:val="0"/>
        <w:snapToGrid w:val="0"/>
        <w:spacing w:beforeLines="0" w:afterLines="0" w:line="560" w:lineRule="exact"/>
        <w:ind w:left="0" w:right="0" w:rightChars="0" w:firstLine="643" w:firstLineChars="200"/>
        <w:rPr>
          <w:rFonts w:hint="default" w:ascii="仿宋" w:hAnsi="仿宋" w:eastAsia="仿宋" w:cs="Times New Roman"/>
          <w:b/>
          <w:bCs/>
          <w:color w:val="000000"/>
          <w:sz w:val="32"/>
          <w:szCs w:val="32"/>
          <w:highlight w:val="none"/>
          <w:lang w:val="en-US" w:eastAsia="zh-CN"/>
        </w:rPr>
      </w:pPr>
      <w:r>
        <w:rPr>
          <w:rFonts w:hint="eastAsia" w:ascii="仿宋" w:hAnsi="仿宋" w:eastAsia="仿宋" w:cs="Times New Roman"/>
          <w:b/>
          <w:bCs/>
          <w:color w:val="000000"/>
          <w:sz w:val="32"/>
          <w:szCs w:val="32"/>
          <w:highlight w:val="none"/>
          <w:lang w:val="en-US" w:eastAsia="zh-CN"/>
        </w:rPr>
        <w:t>1</w:t>
      </w:r>
      <w:r>
        <w:rPr>
          <w:rFonts w:hint="eastAsia" w:ascii="仿宋" w:hAnsi="仿宋" w:eastAsia="仿宋" w:cs="Times New Roman"/>
          <w:b/>
          <w:bCs/>
          <w:color w:val="000000"/>
          <w:sz w:val="32"/>
          <w:szCs w:val="32"/>
          <w:highlight w:val="none"/>
        </w:rPr>
        <w:t>．</w:t>
      </w:r>
      <w:r>
        <w:rPr>
          <w:rFonts w:hint="eastAsia" w:ascii="仿宋" w:hAnsi="仿宋" w:eastAsia="仿宋" w:cs="Times New Roman"/>
          <w:b/>
          <w:bCs/>
          <w:color w:val="000000"/>
          <w:sz w:val="32"/>
          <w:szCs w:val="32"/>
          <w:highlight w:val="none"/>
          <w:lang w:val="en-US" w:eastAsia="zh-CN"/>
        </w:rPr>
        <w:t>在IPO审计业务中核查把关不严</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（1）资金流水核查不到位。例如，未充分关注并审慎核查发行人股东资金往来存在的异常情况，核查程序执行不到位等。</w:t>
      </w:r>
    </w:p>
    <w:p>
      <w:pPr>
        <w:keepNext w:val="0"/>
        <w:keepLines w:val="0"/>
        <w:pageBreakBefore w:val="0"/>
        <w:widowControl/>
        <w:kinsoku/>
        <w:wordWrap/>
        <w:overflowPunct/>
        <w:topLinePunct w:val="0"/>
        <w:bidi w:val="0"/>
        <w:adjustRightInd/>
        <w:snapToGrid/>
        <w:spacing w:beforeLines="0" w:afterLines="0" w:line="560" w:lineRule="exact"/>
        <w:ind w:left="0" w:right="0" w:rightChars="0" w:firstLine="640" w:firstLineChars="200"/>
        <w:rPr>
          <w:rFonts w:hint="eastAsia" w:ascii="仿宋" w:hAnsi="仿宋" w:eastAsia="仿宋" w:cs="Times New Roman"/>
          <w:i w:val="0"/>
          <w:iCs w:val="0"/>
          <w:caps w:val="0"/>
          <w:color w:val="000000"/>
          <w:spacing w:val="0"/>
          <w:sz w:val="32"/>
          <w:szCs w:val="32"/>
          <w:highlight w:val="none"/>
          <w:shd w:val="clear"/>
          <w:lang w:val="en-US" w:eastAsia="zh-CN"/>
        </w:rPr>
      </w:pPr>
      <w:r>
        <w:rPr>
          <w:rFonts w:hint="eastAsia" w:ascii="仿宋" w:hAnsi="仿宋" w:eastAsia="仿宋" w:cs="仿宋"/>
          <w:sz w:val="32"/>
          <w:szCs w:val="32"/>
          <w:highlight w:val="none"/>
          <w:lang w:val="en-US" w:eastAsia="zh-CN"/>
        </w:rPr>
        <w:t>（2）</w:t>
      </w:r>
      <w:r>
        <w:rPr>
          <w:rFonts w:hint="eastAsia" w:ascii="仿宋" w:hAnsi="仿宋" w:eastAsia="仿宋" w:cs="仿宋"/>
          <w:kern w:val="0"/>
          <w:sz w:val="32"/>
          <w:szCs w:val="32"/>
          <w:highlight w:val="none"/>
          <w:lang w:val="en-US" w:eastAsia="zh-CN" w:bidi="ar"/>
        </w:rPr>
        <w:t>收入核查</w:t>
      </w:r>
      <w:r>
        <w:rPr>
          <w:rFonts w:hint="eastAsia" w:ascii="仿宋" w:hAnsi="仿宋" w:eastAsia="仿宋" w:cs="仿宋"/>
          <w:sz w:val="32"/>
          <w:szCs w:val="32"/>
          <w:highlight w:val="none"/>
          <w:lang w:val="en-US" w:eastAsia="zh-CN"/>
        </w:rPr>
        <w:t>不到位。例如，未充分关注发行人收入确认存在不规范情形，发表的核查意见不准确</w:t>
      </w:r>
      <w:r>
        <w:rPr>
          <w:rFonts w:hint="eastAsia" w:ascii="仿宋" w:hAnsi="仿宋" w:eastAsia="仿宋" w:cs="仿宋"/>
          <w:kern w:val="0"/>
          <w:sz w:val="32"/>
          <w:szCs w:val="32"/>
          <w:highlight w:val="none"/>
          <w:lang w:val="en-US" w:eastAsia="zh-CN" w:bidi="ar"/>
        </w:rPr>
        <w:t>等。</w:t>
      </w:r>
    </w:p>
    <w:p>
      <w:pPr>
        <w:keepNext w:val="0"/>
        <w:keepLines w:val="0"/>
        <w:pageBreakBefore w:val="0"/>
        <w:kinsoku/>
        <w:wordWrap/>
        <w:overflowPunct/>
        <w:topLinePunct/>
        <w:bidi w:val="0"/>
        <w:adjustRightInd w:val="0"/>
        <w:snapToGrid w:val="0"/>
        <w:spacing w:beforeLines="0" w:afterLines="0" w:line="560" w:lineRule="exact"/>
        <w:ind w:left="0" w:right="0" w:rightChars="0" w:firstLine="643" w:firstLineChars="200"/>
        <w:rPr>
          <w:rFonts w:hint="eastAsia" w:ascii="仿宋" w:hAnsi="仿宋" w:eastAsia="仿宋" w:cs="Times New Roman"/>
          <w:b/>
          <w:bCs/>
          <w:color w:val="000000"/>
          <w:sz w:val="32"/>
          <w:szCs w:val="32"/>
          <w:highlight w:val="none"/>
          <w:lang w:eastAsia="zh-CN"/>
        </w:rPr>
      </w:pPr>
      <w:r>
        <w:rPr>
          <w:rFonts w:hint="eastAsia" w:ascii="仿宋" w:hAnsi="仿宋" w:eastAsia="仿宋" w:cs="Times New Roman"/>
          <w:b/>
          <w:bCs/>
          <w:i w:val="0"/>
          <w:iCs w:val="0"/>
          <w:caps w:val="0"/>
          <w:color w:val="000000"/>
          <w:spacing w:val="0"/>
          <w:sz w:val="32"/>
          <w:szCs w:val="32"/>
          <w:highlight w:val="none"/>
          <w:shd w:val="clear"/>
          <w:lang w:val="en-US" w:eastAsia="zh-CN"/>
        </w:rPr>
        <w:t>2</w:t>
      </w:r>
      <w:r>
        <w:rPr>
          <w:rFonts w:hint="eastAsia" w:ascii="仿宋" w:hAnsi="仿宋" w:eastAsia="仿宋" w:cs="Times New Roman"/>
          <w:b/>
          <w:bCs/>
          <w:color w:val="000000"/>
          <w:sz w:val="32"/>
          <w:szCs w:val="32"/>
          <w:highlight w:val="none"/>
        </w:rPr>
        <w:t>．</w:t>
      </w:r>
      <w:r>
        <w:rPr>
          <w:rFonts w:hint="eastAsia" w:ascii="仿宋" w:hAnsi="仿宋" w:eastAsia="仿宋" w:cs="Times New Roman"/>
          <w:b/>
          <w:bCs/>
          <w:color w:val="000000"/>
          <w:sz w:val="32"/>
          <w:szCs w:val="32"/>
          <w:highlight w:val="none"/>
          <w:lang w:eastAsia="zh-CN"/>
        </w:rPr>
        <w:t>年报审计过程中未勤勉尽责</w:t>
      </w:r>
    </w:p>
    <w:p>
      <w:pPr>
        <w:keepNext w:val="0"/>
        <w:keepLines w:val="0"/>
        <w:pageBreakBefore w:val="0"/>
        <w:numPr>
          <w:ilvl w:val="0"/>
          <w:numId w:val="0"/>
        </w:numPr>
        <w:kinsoku/>
        <w:wordWrap/>
        <w:overflowPunct/>
        <w:topLinePunct w:val="0"/>
        <w:autoSpaceDE/>
        <w:autoSpaceDN/>
        <w:bidi w:val="0"/>
        <w:adjustRightInd/>
        <w:snapToGrid/>
        <w:spacing w:beforeLines="0" w:beforeAutospacing="0" w:afterLines="0" w:afterAutospacing="0"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（1）关键审计事项审计应对程序执行不到位。例如，对审计报告关键审计事项部分所描述的审计应对程序执行不到位等。</w:t>
      </w:r>
    </w:p>
    <w:p>
      <w:pPr>
        <w:keepNext w:val="0"/>
        <w:keepLines w:val="0"/>
        <w:pageBreakBefore w:val="0"/>
        <w:numPr>
          <w:ilvl w:val="0"/>
          <w:numId w:val="0"/>
        </w:numPr>
        <w:kinsoku/>
        <w:wordWrap/>
        <w:overflowPunct/>
        <w:topLinePunct w:val="0"/>
        <w:autoSpaceDE/>
        <w:autoSpaceDN/>
        <w:bidi w:val="0"/>
        <w:adjustRightInd/>
        <w:snapToGrid/>
        <w:spacing w:beforeLines="0" w:beforeAutospacing="0" w:afterLines="0" w:afterAutospacing="0"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风险评估、内部控制测试相关审计程序执行不到位。例如，了解被审计单位及其环境、穿行测试、会计分录测试等程序执行不到位，未恰当识别财务报表层次的重大错报风险，未对部分关键控制点执行控制测试，以及未对控制测试中的异常保持应有关注。</w:t>
      </w:r>
    </w:p>
    <w:p>
      <w:pPr>
        <w:keepNext w:val="0"/>
        <w:keepLines w:val="0"/>
        <w:pageBreakBefore w:val="0"/>
        <w:numPr>
          <w:ilvl w:val="0"/>
          <w:numId w:val="0"/>
        </w:numPr>
        <w:kinsoku/>
        <w:wordWrap/>
        <w:overflowPunct/>
        <w:topLinePunct w:val="0"/>
        <w:autoSpaceDE/>
        <w:autoSpaceDN/>
        <w:bidi w:val="0"/>
        <w:adjustRightInd/>
        <w:snapToGrid/>
        <w:spacing w:beforeLines="0" w:beforeAutospacing="0" w:afterLines="0" w:afterAutospacing="0"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（3）对收入、存货、成本、长期资产等执行的相关审计程序不到位。例如，对部分业务收入、存货、长期待摊费用、制造费用、应付账款、政府补助、其他应收款等执行的审计程序不到位等。</w:t>
      </w:r>
    </w:p>
    <w:p>
      <w:pPr>
        <w:keepNext w:val="0"/>
        <w:keepLines w:val="0"/>
        <w:pageBreakBefore w:val="0"/>
        <w:numPr>
          <w:ilvl w:val="0"/>
          <w:numId w:val="0"/>
        </w:numPr>
        <w:kinsoku/>
        <w:wordWrap/>
        <w:overflowPunct/>
        <w:topLinePunct w:val="0"/>
        <w:autoSpaceDE/>
        <w:autoSpaceDN/>
        <w:bidi w:val="0"/>
        <w:adjustRightInd/>
        <w:snapToGrid/>
        <w:spacing w:beforeLines="0" w:beforeAutospacing="0" w:afterLines="0" w:afterAutospacing="0"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4）函证、审计抽样、利用专家工作等相关审计程序执行不到位。例如，未按照审计计划执行函证程序，未对函证对象地址执行充分核查程序，未对部分发出的往来函证进行记录和归档，函证替代程序执行不到位，未调查回函不符事项，未对回函异常情况保持应有关注，审计工作底稿记录的部分函证结果与事实不符，选样方法不恰当，以及未就IT专家发现的差异执行进一步审计程序等。</w:t>
      </w:r>
    </w:p>
    <w:p>
      <w:pPr>
        <w:pStyle w:val="8"/>
        <w:keepNext w:val="0"/>
        <w:keepLines w:val="0"/>
        <w:pageBreakBefore w:val="0"/>
        <w:kinsoku/>
        <w:wordWrap/>
        <w:bidi w:val="0"/>
        <w:spacing w:beforeLines="0" w:afterLines="0" w:line="560" w:lineRule="exact"/>
        <w:ind w:firstLine="640" w:firstLineChars="200"/>
        <w:rPr>
          <w:rFonts w:hint="eastAsia"/>
          <w:highlight w:val="none"/>
          <w:lang w:eastAsia="zh-CN"/>
        </w:rPr>
      </w:pPr>
      <w:r>
        <w:rPr>
          <w:rFonts w:hint="eastAsia" w:ascii="仿宋" w:hAnsi="仿宋" w:eastAsia="仿宋" w:cs="仿宋"/>
          <w:sz w:val="32"/>
          <w:szCs w:val="32"/>
          <w:highlight w:val="none"/>
          <w:lang w:val="en-US" w:eastAsia="zh-CN"/>
        </w:rPr>
        <w:t>（5）项目质量复核程序执行不到位。例如，未对质量复核意见的落实情况保持应有关注，项目质量复核人员未签署项目独立性声明，以及未能发现关键审计事项相关审计应对程序执行不到位等。</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二</w:t>
      </w:r>
      <w:r>
        <w:rPr>
          <w:rFonts w:hint="eastAsia" w:ascii="楷体" w:hAnsi="楷体" w:eastAsia="楷体" w:cs="Times New Roman"/>
          <w:color w:val="000000"/>
          <w:sz w:val="32"/>
          <w:szCs w:val="32"/>
          <w:highlight w:val="none"/>
        </w:rPr>
        <w:t>）审计评估机构行政处罚情况</w:t>
      </w:r>
    </w:p>
    <w:p>
      <w:pPr>
        <w:keepNext w:val="0"/>
        <w:keepLines w:val="0"/>
        <w:pageBreakBefore w:val="0"/>
        <w:widowControl/>
        <w:kinsoku/>
        <w:wordWrap/>
        <w:overflowPunct/>
        <w:topLinePunct w:val="0"/>
        <w:bidi w:val="0"/>
        <w:adjustRightInd/>
        <w:snapToGrid/>
        <w:spacing w:beforeLines="0" w:afterLines="0" w:line="560" w:lineRule="exact"/>
        <w:ind w:left="0" w:right="0" w:rightChars="0" w:firstLine="640" w:firstLineChars="200"/>
        <w:rPr>
          <w:rFonts w:hint="eastAsia" w:ascii="仿宋" w:hAnsi="仿宋" w:eastAsia="仿宋" w:cs="仿宋"/>
          <w:kern w:val="0"/>
          <w:sz w:val="32"/>
          <w:szCs w:val="32"/>
          <w:highlight w:val="none"/>
          <w:lang w:val="en-US" w:eastAsia="zh-CN" w:bidi="ar"/>
        </w:rPr>
      </w:pPr>
      <w:r>
        <w:rPr>
          <w:rFonts w:hint="eastAsia" w:ascii="仿宋" w:hAnsi="仿宋" w:eastAsia="仿宋" w:cs="Times New Roman"/>
          <w:color w:val="000000"/>
          <w:sz w:val="32"/>
          <w:szCs w:val="32"/>
          <w:highlight w:val="none"/>
        </w:rPr>
        <w:t>公开信息显示，202</w:t>
      </w:r>
      <w:r>
        <w:rPr>
          <w:rFonts w:hint="eastAsia" w:ascii="仿宋" w:hAnsi="仿宋" w:eastAsia="仿宋" w:cs="Times New Roman"/>
          <w:color w:val="000000"/>
          <w:sz w:val="32"/>
          <w:szCs w:val="32"/>
          <w:highlight w:val="none"/>
          <w:lang w:val="en-US" w:eastAsia="zh-CN"/>
        </w:rPr>
        <w:t>5</w:t>
      </w:r>
      <w:r>
        <w:rPr>
          <w:rFonts w:hint="eastAsia" w:ascii="仿宋" w:hAnsi="仿宋" w:eastAsia="仿宋" w:cs="Times New Roman"/>
          <w:color w:val="000000"/>
          <w:sz w:val="32"/>
          <w:szCs w:val="32"/>
          <w:highlight w:val="none"/>
        </w:rPr>
        <w:t>年</w:t>
      </w:r>
      <w:r>
        <w:rPr>
          <w:rFonts w:hint="eastAsia" w:ascii="仿宋" w:hAnsi="仿宋" w:eastAsia="仿宋" w:cs="Times New Roman"/>
          <w:color w:val="000000"/>
          <w:sz w:val="32"/>
          <w:szCs w:val="32"/>
          <w:highlight w:val="none"/>
          <w:lang w:val="en-US" w:eastAsia="zh-CN"/>
        </w:rPr>
        <w:t>8</w:t>
      </w:r>
      <w:r>
        <w:rPr>
          <w:rFonts w:hint="eastAsia" w:ascii="仿宋" w:hAnsi="仿宋" w:eastAsia="仿宋" w:cs="Times New Roman"/>
          <w:color w:val="000000"/>
          <w:sz w:val="32"/>
          <w:szCs w:val="32"/>
          <w:highlight w:val="none"/>
        </w:rPr>
        <w:t>月至</w:t>
      </w:r>
      <w:r>
        <w:rPr>
          <w:rFonts w:hint="eastAsia" w:ascii="仿宋" w:hAnsi="仿宋" w:eastAsia="仿宋" w:cs="Times New Roman"/>
          <w:color w:val="000000"/>
          <w:sz w:val="32"/>
          <w:szCs w:val="32"/>
          <w:highlight w:val="none"/>
          <w:lang w:val="en-US" w:eastAsia="zh-CN"/>
        </w:rPr>
        <w:t>9</w:t>
      </w:r>
      <w:r>
        <w:rPr>
          <w:rFonts w:hint="eastAsia" w:ascii="仿宋" w:hAnsi="仿宋" w:eastAsia="仿宋" w:cs="Times New Roman"/>
          <w:color w:val="000000"/>
          <w:sz w:val="32"/>
          <w:szCs w:val="32"/>
          <w:highlight w:val="none"/>
        </w:rPr>
        <w:t>月，证监会及其派出机构共</w:t>
      </w:r>
      <w:r>
        <w:rPr>
          <w:rFonts w:hint="eastAsia" w:ascii="仿宋" w:hAnsi="仿宋" w:eastAsia="仿宋" w:cs="Times New Roman"/>
          <w:color w:val="000000"/>
          <w:sz w:val="32"/>
          <w:szCs w:val="32"/>
          <w:highlight w:val="none"/>
          <w:lang w:val="en-US" w:eastAsia="zh-CN"/>
        </w:rPr>
        <w:t>对涉及</w:t>
      </w:r>
      <w:r>
        <w:rPr>
          <w:rFonts w:ascii="仿宋" w:hAnsi="仿宋" w:eastAsia="仿宋" w:cs="Times New Roman"/>
          <w:color w:val="000000"/>
          <w:sz w:val="32"/>
          <w:szCs w:val="32"/>
          <w:highlight w:val="none"/>
        </w:rPr>
        <w:t>深市</w:t>
      </w:r>
      <w:r>
        <w:rPr>
          <w:rFonts w:hint="eastAsia" w:ascii="仿宋" w:hAnsi="仿宋" w:eastAsia="仿宋" w:cs="Times New Roman"/>
          <w:color w:val="000000"/>
          <w:sz w:val="32"/>
          <w:szCs w:val="32"/>
          <w:highlight w:val="none"/>
          <w:lang w:eastAsia="zh-CN"/>
        </w:rPr>
        <w:t>相关业务的</w:t>
      </w:r>
      <w:r>
        <w:rPr>
          <w:rFonts w:hint="eastAsia" w:ascii="仿宋" w:hAnsi="仿宋" w:eastAsia="仿宋" w:cs="Times New Roman"/>
          <w:color w:val="000000"/>
          <w:sz w:val="32"/>
          <w:szCs w:val="32"/>
          <w:highlight w:val="none"/>
        </w:rPr>
        <w:t>审计</w:t>
      </w:r>
      <w:r>
        <w:rPr>
          <w:rFonts w:hint="eastAsia" w:ascii="仿宋" w:hAnsi="仿宋" w:eastAsia="仿宋" w:cs="Times New Roman"/>
          <w:color w:val="000000"/>
          <w:sz w:val="32"/>
          <w:szCs w:val="32"/>
          <w:highlight w:val="none"/>
          <w:lang w:eastAsia="zh-CN"/>
        </w:rPr>
        <w:t>评估</w:t>
      </w:r>
      <w:r>
        <w:rPr>
          <w:rFonts w:hint="eastAsia" w:ascii="仿宋" w:hAnsi="仿宋" w:eastAsia="仿宋" w:cs="Times New Roman"/>
          <w:color w:val="000000"/>
          <w:sz w:val="32"/>
          <w:szCs w:val="32"/>
          <w:highlight w:val="none"/>
        </w:rPr>
        <w:t>机构</w:t>
      </w:r>
      <w:r>
        <w:rPr>
          <w:rFonts w:hint="eastAsia" w:ascii="仿宋" w:hAnsi="仿宋" w:eastAsia="仿宋" w:cs="Times New Roman"/>
          <w:color w:val="000000"/>
          <w:sz w:val="32"/>
          <w:szCs w:val="32"/>
          <w:highlight w:val="none"/>
          <w:lang w:val="en-US" w:eastAsia="zh-CN"/>
        </w:rPr>
        <w:t>作出6单行政处罚，</w:t>
      </w:r>
      <w:r>
        <w:rPr>
          <w:rFonts w:hint="eastAsia" w:ascii="仿宋" w:hAnsi="仿宋" w:eastAsia="仿宋" w:cs="Times New Roman"/>
          <w:color w:val="000000"/>
          <w:sz w:val="32"/>
          <w:szCs w:val="32"/>
          <w:highlight w:val="none"/>
        </w:rPr>
        <w:t>相关审</w:t>
      </w:r>
      <w:r>
        <w:rPr>
          <w:rFonts w:hint="eastAsia" w:ascii="仿宋" w:hAnsi="仿宋" w:eastAsia="仿宋" w:cs="仿宋"/>
          <w:kern w:val="0"/>
          <w:sz w:val="32"/>
          <w:szCs w:val="32"/>
          <w:highlight w:val="none"/>
          <w:lang w:bidi="ar"/>
        </w:rPr>
        <w:t>计</w:t>
      </w:r>
      <w:r>
        <w:rPr>
          <w:rFonts w:hint="eastAsia" w:ascii="仿宋" w:hAnsi="仿宋" w:eastAsia="仿宋" w:cs="仿宋"/>
          <w:kern w:val="0"/>
          <w:sz w:val="32"/>
          <w:szCs w:val="32"/>
          <w:highlight w:val="none"/>
          <w:lang w:eastAsia="zh-CN" w:bidi="ar"/>
        </w:rPr>
        <w:t>评估</w:t>
      </w:r>
      <w:r>
        <w:rPr>
          <w:rFonts w:hint="eastAsia" w:ascii="仿宋" w:hAnsi="仿宋" w:eastAsia="仿宋" w:cs="仿宋"/>
          <w:kern w:val="0"/>
          <w:sz w:val="32"/>
          <w:szCs w:val="32"/>
          <w:highlight w:val="none"/>
          <w:lang w:bidi="ar"/>
        </w:rPr>
        <w:t>机构执业质量问题主要表现为：</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kern w:val="0"/>
          <w:sz w:val="32"/>
          <w:szCs w:val="32"/>
          <w:highlight w:val="none"/>
          <w:lang w:val="en-US" w:eastAsia="zh-CN" w:bidi="ar"/>
        </w:rPr>
        <w:t>1</w:t>
      </w:r>
      <w:r>
        <w:rPr>
          <w:rFonts w:hint="eastAsia" w:ascii="仿宋" w:hAnsi="仿宋" w:eastAsia="仿宋" w:cs="仿宋"/>
          <w:kern w:val="0"/>
          <w:sz w:val="32"/>
          <w:szCs w:val="32"/>
          <w:highlight w:val="none"/>
          <w:lang w:bidi="ar"/>
        </w:rPr>
        <w:t>．</w:t>
      </w:r>
      <w:r>
        <w:rPr>
          <w:rFonts w:hint="eastAsia" w:ascii="仿宋" w:hAnsi="仿宋" w:eastAsia="仿宋" w:cs="仿宋"/>
          <w:i w:val="0"/>
          <w:iCs w:val="0"/>
          <w:caps w:val="0"/>
          <w:spacing w:val="0"/>
          <w:kern w:val="0"/>
          <w:sz w:val="32"/>
          <w:szCs w:val="32"/>
          <w:highlight w:val="none"/>
          <w:shd w:val="clear"/>
          <w:lang w:val="en-US" w:eastAsia="zh-CN" w:bidi="ar"/>
        </w:rPr>
        <w:t>风险评估程序执行不到位。</w:t>
      </w:r>
      <w:r>
        <w:rPr>
          <w:rFonts w:hint="eastAsia" w:ascii="仿宋" w:hAnsi="仿宋" w:eastAsia="仿宋" w:cs="仿宋"/>
          <w:kern w:val="0"/>
          <w:sz w:val="32"/>
          <w:szCs w:val="32"/>
          <w:highlight w:val="none"/>
          <w:lang w:val="en-US" w:eastAsia="zh-CN" w:bidi="ar"/>
        </w:rPr>
        <w:t>例如，执行销售与收款循环穿行测试时，原设计的审计程序无法执行，未执行其他替代审计程序；</w:t>
      </w:r>
      <w:r>
        <w:rPr>
          <w:rFonts w:hint="eastAsia" w:ascii="仿宋" w:hAnsi="仿宋" w:eastAsia="仿宋" w:cs="仿宋"/>
          <w:i w:val="0"/>
          <w:iCs w:val="0"/>
          <w:caps w:val="0"/>
          <w:spacing w:val="0"/>
          <w:kern w:val="0"/>
          <w:sz w:val="32"/>
          <w:szCs w:val="32"/>
          <w:highlight w:val="none"/>
          <w:u w:val="none"/>
          <w:shd w:val="clear"/>
          <w:lang w:bidi="ar"/>
        </w:rPr>
        <w:t>未对重要子公司实施有效风险识别及评估程序</w:t>
      </w:r>
      <w:r>
        <w:rPr>
          <w:rFonts w:hint="eastAsia" w:ascii="仿宋" w:hAnsi="仿宋" w:eastAsia="仿宋" w:cs="仿宋"/>
          <w:i w:val="0"/>
          <w:iCs w:val="0"/>
          <w:caps w:val="0"/>
          <w:spacing w:val="0"/>
          <w:kern w:val="0"/>
          <w:sz w:val="32"/>
          <w:szCs w:val="32"/>
          <w:highlight w:val="none"/>
          <w:u w:val="none"/>
          <w:shd w:val="clear"/>
          <w:lang w:eastAsia="zh-CN" w:bidi="ar"/>
        </w:rPr>
        <w:t>，</w:t>
      </w:r>
      <w:r>
        <w:rPr>
          <w:rFonts w:hint="eastAsia" w:ascii="仿宋" w:hAnsi="仿宋" w:eastAsia="仿宋" w:cs="仿宋"/>
          <w:i w:val="0"/>
          <w:iCs w:val="0"/>
          <w:caps w:val="0"/>
          <w:spacing w:val="0"/>
          <w:kern w:val="0"/>
          <w:sz w:val="32"/>
          <w:szCs w:val="32"/>
          <w:highlight w:val="none"/>
          <w:u w:val="none"/>
          <w:shd w:val="clear"/>
          <w:lang w:bidi="ar"/>
        </w:rPr>
        <w:t>从而没有设计针对评估的重大错报风险采取的应对措施</w:t>
      </w:r>
      <w:r>
        <w:rPr>
          <w:rFonts w:hint="eastAsia" w:ascii="仿宋" w:hAnsi="仿宋" w:eastAsia="仿宋" w:cs="仿宋"/>
          <w:i w:val="0"/>
          <w:iCs w:val="0"/>
          <w:caps w:val="0"/>
          <w:spacing w:val="0"/>
          <w:kern w:val="0"/>
          <w:sz w:val="32"/>
          <w:szCs w:val="32"/>
          <w:highlight w:val="none"/>
          <w:u w:val="none"/>
          <w:shd w:val="clear"/>
          <w:lang w:eastAsia="zh-CN" w:bidi="ar"/>
        </w:rPr>
        <w:t>；</w:t>
      </w:r>
      <w:r>
        <w:rPr>
          <w:rFonts w:hint="eastAsia" w:ascii="仿宋" w:hAnsi="仿宋" w:eastAsia="仿宋" w:cs="仿宋"/>
          <w:sz w:val="32"/>
          <w:szCs w:val="32"/>
          <w:highlight w:val="none"/>
          <w:lang w:val="en-US" w:eastAsia="zh-CN"/>
        </w:rPr>
        <w:t>在了解收入循环时，仅按照销售业务流程执行穿行测试，未充分了解部分业务的流程和关键业务活动，未能恰当识别部分业务关键控制点情况</w:t>
      </w:r>
      <w:r>
        <w:rPr>
          <w:rFonts w:hint="eastAsia" w:ascii="仿宋" w:hAnsi="仿宋" w:eastAsia="仿宋" w:cs="仿宋"/>
          <w:kern w:val="0"/>
          <w:sz w:val="32"/>
          <w:szCs w:val="32"/>
          <w:highlight w:val="none"/>
          <w:lang w:val="en-US" w:eastAsia="zh-CN" w:bidi="ar"/>
        </w:rPr>
        <w:t>等</w:t>
      </w:r>
      <w:r>
        <w:rPr>
          <w:rFonts w:hint="eastAsia" w:ascii="仿宋" w:hAnsi="仿宋" w:eastAsia="仿宋" w:cs="仿宋"/>
          <w:sz w:val="32"/>
          <w:szCs w:val="32"/>
          <w:highlight w:val="none"/>
          <w:lang w:val="en-US" w:eastAsia="zh-CN"/>
        </w:rPr>
        <w:t xml:space="preserve">。 </w:t>
      </w:r>
    </w:p>
    <w:p>
      <w:pPr>
        <w:keepNext w:val="0"/>
        <w:keepLines w:val="0"/>
        <w:pageBreakBefore w:val="0"/>
        <w:widowControl/>
        <w:numPr>
          <w:ilvl w:val="0"/>
          <w:numId w:val="0"/>
        </w:numPr>
        <w:kinsoku/>
        <w:wordWrap/>
        <w:overflowPunct/>
        <w:topLinePunct w:val="0"/>
        <w:bidi w:val="0"/>
        <w:adjustRightInd/>
        <w:snapToGrid/>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w:t>
      </w:r>
      <w:r>
        <w:rPr>
          <w:rFonts w:hint="eastAsia" w:ascii="仿宋" w:hAnsi="仿宋" w:eastAsia="仿宋" w:cs="Times New Roman"/>
          <w:color w:val="000000"/>
          <w:sz w:val="32"/>
          <w:szCs w:val="32"/>
          <w:highlight w:val="none"/>
        </w:rPr>
        <w:t>．</w:t>
      </w:r>
      <w:r>
        <w:rPr>
          <w:rFonts w:hint="eastAsia" w:ascii="仿宋" w:hAnsi="仿宋" w:eastAsia="仿宋" w:cs="仿宋"/>
          <w:sz w:val="32"/>
          <w:szCs w:val="32"/>
          <w:highlight w:val="none"/>
          <w:lang w:val="en-US" w:eastAsia="zh-CN"/>
        </w:rPr>
        <w:t>内控测试程序执行不到位。例如，销售与收款循环控制测试样本抽取范围不完整，未按计划检查个别控制点，未对部分样本物流记录、验收单进行检查；</w:t>
      </w:r>
      <w:r>
        <w:rPr>
          <w:rFonts w:hint="eastAsia" w:ascii="仿宋" w:hAnsi="仿宋" w:eastAsia="仿宋" w:cs="仿宋"/>
          <w:i w:val="0"/>
          <w:iCs w:val="0"/>
          <w:caps w:val="0"/>
          <w:color w:val="000000"/>
          <w:spacing w:val="0"/>
          <w:sz w:val="32"/>
          <w:szCs w:val="32"/>
          <w:highlight w:val="none"/>
        </w:rPr>
        <w:t>未了解对财务报表有重大影响</w:t>
      </w:r>
      <w:r>
        <w:rPr>
          <w:rFonts w:hint="eastAsia" w:ascii="仿宋" w:hAnsi="仿宋" w:eastAsia="仿宋" w:cs="仿宋"/>
          <w:i w:val="0"/>
          <w:iCs w:val="0"/>
          <w:caps w:val="0"/>
          <w:color w:val="000000"/>
          <w:spacing w:val="0"/>
          <w:sz w:val="32"/>
          <w:szCs w:val="32"/>
          <w:highlight w:val="none"/>
          <w:lang w:val="en-US" w:eastAsia="zh-CN"/>
        </w:rPr>
        <w:t>的子公司</w:t>
      </w:r>
      <w:r>
        <w:rPr>
          <w:rFonts w:hint="eastAsia" w:ascii="仿宋" w:hAnsi="仿宋" w:eastAsia="仿宋" w:cs="仿宋"/>
          <w:i w:val="0"/>
          <w:iCs w:val="0"/>
          <w:caps w:val="0"/>
          <w:color w:val="000000"/>
          <w:spacing w:val="0"/>
          <w:sz w:val="32"/>
          <w:szCs w:val="32"/>
          <w:highlight w:val="none"/>
        </w:rPr>
        <w:t>在电子商务中运用的与审计相关的内部控制，未对数据平台系统实施必要审计程序</w:t>
      </w:r>
      <w:r>
        <w:rPr>
          <w:rFonts w:hint="eastAsia" w:ascii="仿宋" w:hAnsi="仿宋" w:eastAsia="仿宋" w:cs="仿宋"/>
          <w:kern w:val="0"/>
          <w:sz w:val="32"/>
          <w:szCs w:val="32"/>
          <w:highlight w:val="none"/>
          <w:lang w:val="en-US" w:eastAsia="zh-CN" w:bidi="ar"/>
        </w:rPr>
        <w:t>等</w:t>
      </w:r>
      <w:r>
        <w:rPr>
          <w:rFonts w:hint="eastAsia" w:ascii="仿宋" w:hAnsi="仿宋" w:eastAsia="仿宋" w:cs="仿宋"/>
          <w:sz w:val="32"/>
          <w:szCs w:val="32"/>
          <w:highlight w:val="none"/>
          <w:lang w:val="en-US" w:eastAsia="zh-CN"/>
        </w:rPr>
        <w:t>。</w:t>
      </w:r>
    </w:p>
    <w:p>
      <w:pPr>
        <w:keepNext w:val="0"/>
        <w:keepLines w:val="0"/>
        <w:pageBreakBefore w:val="0"/>
        <w:numPr>
          <w:ilvl w:val="0"/>
          <w:numId w:val="0"/>
        </w:numPr>
        <w:kinsoku/>
        <w:wordWrap/>
        <w:overflowPunct/>
        <w:topLinePunct w:val="0"/>
        <w:autoSpaceDE/>
        <w:autoSpaceDN/>
        <w:bidi w:val="0"/>
        <w:adjustRightInd/>
        <w:snapToGrid/>
        <w:spacing w:beforeLines="0" w:beforeAutospacing="0" w:afterLines="0" w:afterAutospacing="0"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Times New Roman"/>
          <w:color w:val="000000"/>
          <w:sz w:val="32"/>
          <w:szCs w:val="32"/>
          <w:highlight w:val="none"/>
          <w:lang w:val="en-US" w:eastAsia="zh-CN"/>
        </w:rPr>
        <w:t>3</w:t>
      </w:r>
      <w:r>
        <w:rPr>
          <w:rFonts w:hint="eastAsia" w:ascii="仿宋" w:hAnsi="仿宋" w:eastAsia="仿宋" w:cs="Times New Roman"/>
          <w:color w:val="000000"/>
          <w:sz w:val="32"/>
          <w:szCs w:val="32"/>
          <w:highlight w:val="none"/>
        </w:rPr>
        <w:t>．</w:t>
      </w:r>
      <w:r>
        <w:rPr>
          <w:rFonts w:hint="eastAsia" w:ascii="仿宋" w:hAnsi="仿宋" w:eastAsia="仿宋" w:cs="Times New Roman"/>
          <w:color w:val="000000"/>
          <w:sz w:val="32"/>
          <w:szCs w:val="32"/>
          <w:highlight w:val="none"/>
          <w:lang w:val="en-US" w:eastAsia="zh-CN"/>
        </w:rPr>
        <w:t>收入核查不到位。例如，</w:t>
      </w:r>
      <w:r>
        <w:rPr>
          <w:rFonts w:hint="eastAsia" w:ascii="仿宋" w:hAnsi="仿宋" w:eastAsia="仿宋" w:cs="仿宋"/>
          <w:sz w:val="32"/>
          <w:szCs w:val="32"/>
          <w:highlight w:val="none"/>
          <w:lang w:val="en-US" w:eastAsia="zh-CN"/>
        </w:rPr>
        <w:t>未对技术服务业务来源真实性保持职业怀疑；未对合同约定的委托加工产品与公司收入确认的产品销售业务模式不一致等异常情况予以关注；未就某业务高毛利率的合理性、业务真实性获取充分、适当的审计证据；未对期末大额原材料销售保持职业怀疑等。</w:t>
      </w:r>
    </w:p>
    <w:p>
      <w:pPr>
        <w:pStyle w:val="14"/>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60" w:lineRule="exact"/>
        <w:ind w:left="0" w:firstLine="640" w:firstLineChars="200"/>
        <w:jc w:val="both"/>
        <w:textAlignment w:val="auto"/>
        <w:rPr>
          <w:rFonts w:hint="eastAsia" w:ascii="仿宋" w:hAnsi="仿宋" w:eastAsia="仿宋" w:cs="仿宋"/>
          <w:i w:val="0"/>
          <w:iCs w:val="0"/>
          <w:caps w:val="0"/>
          <w:color w:val="000000"/>
          <w:spacing w:val="0"/>
          <w:sz w:val="32"/>
          <w:szCs w:val="32"/>
          <w:highlight w:val="none"/>
        </w:rPr>
      </w:pPr>
      <w:r>
        <w:rPr>
          <w:rFonts w:hint="eastAsia" w:ascii="仿宋" w:hAnsi="仿宋" w:eastAsia="仿宋" w:cs="Times New Roman"/>
          <w:color w:val="000000"/>
          <w:sz w:val="32"/>
          <w:szCs w:val="32"/>
          <w:highlight w:val="none"/>
          <w:lang w:val="en-US" w:eastAsia="zh-CN"/>
        </w:rPr>
        <w:t>4</w:t>
      </w:r>
      <w:r>
        <w:rPr>
          <w:rFonts w:hint="eastAsia" w:ascii="仿宋" w:hAnsi="仿宋" w:eastAsia="仿宋" w:cs="Times New Roman"/>
          <w:color w:val="000000"/>
          <w:sz w:val="32"/>
          <w:szCs w:val="32"/>
          <w:highlight w:val="none"/>
        </w:rPr>
        <w:t>．</w:t>
      </w:r>
      <w:r>
        <w:rPr>
          <w:rFonts w:hint="eastAsia" w:ascii="仿宋" w:hAnsi="仿宋" w:eastAsia="仿宋" w:cs="Times New Roman"/>
          <w:b w:val="0"/>
          <w:bCs w:val="0"/>
          <w:color w:val="000000"/>
          <w:sz w:val="32"/>
          <w:szCs w:val="32"/>
          <w:highlight w:val="none"/>
          <w:lang w:val="en-US" w:eastAsia="zh-CN"/>
        </w:rPr>
        <w:t>存货</w:t>
      </w:r>
      <w:r>
        <w:rPr>
          <w:rFonts w:hint="eastAsia" w:ascii="仿宋" w:hAnsi="仿宋" w:eastAsia="仿宋" w:cs="Times New Roman"/>
          <w:color w:val="000000"/>
          <w:sz w:val="32"/>
          <w:szCs w:val="32"/>
          <w:highlight w:val="none"/>
          <w:lang w:val="en-US" w:eastAsia="zh-CN"/>
        </w:rPr>
        <w:t>核查不到位</w:t>
      </w:r>
      <w:r>
        <w:rPr>
          <w:rFonts w:hint="eastAsia" w:ascii="仿宋" w:hAnsi="仿宋" w:eastAsia="仿宋" w:cs="仿宋"/>
          <w:sz w:val="32"/>
          <w:szCs w:val="32"/>
          <w:highlight w:val="none"/>
          <w:lang w:val="en-US" w:eastAsia="zh-CN"/>
        </w:rPr>
        <w:t>。例如，未对公司向两个供应商采购相同产品的单价差异较大，以及公司新增供应商履约能力保持应有的职业怀疑，未对公司相关采购的真实性获取充分、适当的审计证据；</w:t>
      </w:r>
      <w:r>
        <w:rPr>
          <w:rFonts w:hint="eastAsia" w:ascii="仿宋" w:hAnsi="仿宋" w:eastAsia="仿宋" w:cs="仿宋"/>
          <w:i w:val="0"/>
          <w:iCs w:val="0"/>
          <w:caps w:val="0"/>
          <w:color w:val="000000"/>
          <w:spacing w:val="0"/>
          <w:sz w:val="32"/>
          <w:szCs w:val="32"/>
          <w:highlight w:val="none"/>
        </w:rPr>
        <w:t>发出商品</w:t>
      </w:r>
      <w:r>
        <w:rPr>
          <w:rFonts w:hint="eastAsia" w:ascii="仿宋" w:hAnsi="仿宋" w:eastAsia="仿宋" w:cs="仿宋"/>
          <w:i w:val="0"/>
          <w:iCs w:val="0"/>
          <w:caps w:val="0"/>
          <w:color w:val="000000"/>
          <w:spacing w:val="0"/>
          <w:sz w:val="32"/>
          <w:szCs w:val="32"/>
          <w:highlight w:val="none"/>
          <w:lang w:eastAsia="zh-CN"/>
        </w:rPr>
        <w:t>、</w:t>
      </w:r>
      <w:r>
        <w:rPr>
          <w:rFonts w:hint="eastAsia" w:ascii="仿宋" w:hAnsi="仿宋" w:eastAsia="仿宋" w:cs="仿宋"/>
          <w:i w:val="0"/>
          <w:iCs w:val="0"/>
          <w:caps w:val="0"/>
          <w:color w:val="000000"/>
          <w:spacing w:val="0"/>
          <w:sz w:val="32"/>
          <w:szCs w:val="32"/>
          <w:highlight w:val="none"/>
        </w:rPr>
        <w:t>库存商品的审计程序不足</w:t>
      </w:r>
      <w:r>
        <w:rPr>
          <w:rFonts w:hint="eastAsia" w:ascii="仿宋" w:hAnsi="仿宋" w:eastAsia="仿宋" w:cs="仿宋"/>
          <w:i w:val="0"/>
          <w:iCs w:val="0"/>
          <w:caps w:val="0"/>
          <w:color w:val="000000"/>
          <w:spacing w:val="0"/>
          <w:sz w:val="32"/>
          <w:szCs w:val="32"/>
          <w:highlight w:val="none"/>
          <w:lang w:eastAsia="zh-CN"/>
        </w:rPr>
        <w:t>，</w:t>
      </w:r>
      <w:r>
        <w:rPr>
          <w:rFonts w:hint="eastAsia" w:ascii="仿宋" w:hAnsi="仿宋" w:eastAsia="仿宋" w:cs="仿宋"/>
          <w:i w:val="0"/>
          <w:iCs w:val="0"/>
          <w:caps w:val="0"/>
          <w:color w:val="000000"/>
          <w:spacing w:val="0"/>
          <w:sz w:val="32"/>
          <w:szCs w:val="32"/>
          <w:highlight w:val="none"/>
        </w:rPr>
        <w:t>库存商品审计程序</w:t>
      </w:r>
      <w:r>
        <w:rPr>
          <w:rFonts w:hint="eastAsia" w:ascii="仿宋" w:hAnsi="仿宋" w:eastAsia="仿宋" w:cs="仿宋"/>
          <w:i w:val="0"/>
          <w:iCs w:val="0"/>
          <w:caps w:val="0"/>
          <w:color w:val="000000"/>
          <w:spacing w:val="0"/>
          <w:sz w:val="32"/>
          <w:szCs w:val="32"/>
          <w:highlight w:val="none"/>
          <w:lang w:eastAsia="zh-CN"/>
        </w:rPr>
        <w:t>、</w:t>
      </w:r>
      <w:r>
        <w:rPr>
          <w:rFonts w:hint="eastAsia" w:ascii="仿宋" w:hAnsi="仿宋" w:eastAsia="仿宋" w:cs="仿宋"/>
          <w:i w:val="0"/>
          <w:iCs w:val="0"/>
          <w:caps w:val="0"/>
          <w:color w:val="000000"/>
          <w:spacing w:val="0"/>
          <w:sz w:val="32"/>
          <w:szCs w:val="32"/>
          <w:highlight w:val="none"/>
        </w:rPr>
        <w:t>外购商品发出计价测试过程存在缺陷。</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 w:hAnsi="仿宋" w:eastAsia="仿宋" w:cs="仿宋"/>
          <w:kern w:val="0"/>
          <w:sz w:val="32"/>
          <w:szCs w:val="32"/>
          <w:highlight w:val="none"/>
          <w:lang w:val="en-US" w:eastAsia="zh-CN" w:bidi="ar"/>
        </w:rPr>
      </w:pPr>
      <w:r>
        <w:rPr>
          <w:rFonts w:hint="eastAsia" w:ascii="仿宋" w:hAnsi="仿宋" w:eastAsia="仿宋" w:cs="Times New Roman"/>
          <w:color w:val="000000"/>
          <w:sz w:val="32"/>
          <w:szCs w:val="32"/>
          <w:highlight w:val="none"/>
          <w:lang w:val="en-US" w:eastAsia="zh-CN"/>
        </w:rPr>
        <w:t>5</w:t>
      </w:r>
      <w:r>
        <w:rPr>
          <w:rFonts w:hint="eastAsia" w:ascii="仿宋" w:hAnsi="仿宋" w:eastAsia="仿宋" w:cs="Times New Roman"/>
          <w:color w:val="000000"/>
          <w:sz w:val="32"/>
          <w:szCs w:val="32"/>
          <w:highlight w:val="none"/>
        </w:rPr>
        <w:t>．</w:t>
      </w:r>
      <w:r>
        <w:rPr>
          <w:rFonts w:hint="eastAsia" w:ascii="仿宋" w:hAnsi="仿宋" w:eastAsia="仿宋" w:cs="仿宋"/>
          <w:sz w:val="32"/>
          <w:szCs w:val="32"/>
          <w:highlight w:val="none"/>
          <w:lang w:val="en-US" w:eastAsia="zh-CN"/>
        </w:rPr>
        <w:t>银行存款</w:t>
      </w:r>
      <w:r>
        <w:rPr>
          <w:rFonts w:hint="eastAsia" w:ascii="仿宋" w:hAnsi="仿宋" w:eastAsia="仿宋" w:cs="Times New Roman"/>
          <w:color w:val="000000"/>
          <w:sz w:val="32"/>
          <w:szCs w:val="32"/>
          <w:highlight w:val="none"/>
          <w:lang w:val="en-US" w:eastAsia="zh-CN"/>
        </w:rPr>
        <w:t>核查不到位</w:t>
      </w:r>
      <w:r>
        <w:rPr>
          <w:rFonts w:hint="eastAsia" w:ascii="仿宋" w:hAnsi="仿宋" w:eastAsia="仿宋" w:cs="仿宋"/>
          <w:sz w:val="32"/>
          <w:szCs w:val="32"/>
          <w:highlight w:val="none"/>
          <w:lang w:val="en-US" w:eastAsia="zh-CN"/>
        </w:rPr>
        <w:t>。例如，</w:t>
      </w:r>
      <w:r>
        <w:rPr>
          <w:rFonts w:hint="eastAsia" w:ascii="仿宋" w:hAnsi="仿宋" w:eastAsia="仿宋" w:cs="仿宋"/>
          <w:kern w:val="0"/>
          <w:sz w:val="32"/>
          <w:szCs w:val="32"/>
          <w:highlight w:val="none"/>
          <w:lang w:val="en-US" w:eastAsia="zh-CN" w:bidi="ar"/>
        </w:rPr>
        <w:t>针对账面显示贷款资金长期存放于活期银行账户，相关账户活期存款金额相同、季度利息收入却相差近10倍等异常情况，未保持职业怀疑，未进一步执行审计程序，未识别可能存在虚假银行对账单及银行回单的情形等。</w:t>
      </w:r>
    </w:p>
    <w:p>
      <w:pPr>
        <w:spacing w:beforeLines="0" w:afterLines="0" w:line="560" w:lineRule="exact"/>
        <w:ind w:firstLine="640" w:firstLineChars="200"/>
        <w:rPr>
          <w:rFonts w:hint="eastAsia" w:ascii="仿宋" w:hAnsi="仿宋" w:eastAsia="仿宋" w:cs="仿宋"/>
          <w:i w:val="0"/>
          <w:iCs w:val="0"/>
          <w:caps w:val="0"/>
          <w:spacing w:val="0"/>
          <w:kern w:val="0"/>
          <w:sz w:val="32"/>
          <w:szCs w:val="32"/>
          <w:highlight w:val="none"/>
          <w:u w:val="none"/>
          <w:lang w:bidi="ar"/>
        </w:rPr>
      </w:pPr>
      <w:r>
        <w:rPr>
          <w:rFonts w:hint="eastAsia" w:ascii="仿宋" w:hAnsi="仿宋" w:eastAsia="仿宋" w:cs="仿宋"/>
          <w:kern w:val="0"/>
          <w:sz w:val="32"/>
          <w:szCs w:val="32"/>
          <w:highlight w:val="none"/>
          <w:lang w:val="en-US" w:eastAsia="zh-CN" w:bidi="ar"/>
        </w:rPr>
        <w:t>6</w:t>
      </w:r>
      <w:r>
        <w:rPr>
          <w:rFonts w:hint="eastAsia" w:ascii="仿宋" w:hAnsi="仿宋" w:eastAsia="仿宋" w:cs="仿宋"/>
          <w:kern w:val="0"/>
          <w:sz w:val="32"/>
          <w:szCs w:val="32"/>
          <w:highlight w:val="none"/>
          <w:lang w:bidi="ar"/>
        </w:rPr>
        <w:t>．</w:t>
      </w:r>
      <w:r>
        <w:rPr>
          <w:rFonts w:hint="eastAsia" w:ascii="仿宋" w:hAnsi="仿宋" w:eastAsia="仿宋" w:cs="仿宋"/>
          <w:i w:val="0"/>
          <w:iCs w:val="0"/>
          <w:caps w:val="0"/>
          <w:spacing w:val="0"/>
          <w:kern w:val="0"/>
          <w:sz w:val="32"/>
          <w:szCs w:val="32"/>
          <w:highlight w:val="none"/>
          <w:u w:val="none"/>
          <w:shd w:val="clear"/>
          <w:lang w:bidi="ar"/>
        </w:rPr>
        <w:t>其他应付款</w:t>
      </w:r>
      <w:r>
        <w:rPr>
          <w:rFonts w:hint="eastAsia" w:ascii="仿宋" w:hAnsi="仿宋" w:eastAsia="仿宋" w:cs="仿宋"/>
          <w:kern w:val="0"/>
          <w:sz w:val="32"/>
          <w:szCs w:val="32"/>
          <w:highlight w:val="none"/>
          <w:lang w:val="en-US" w:eastAsia="zh-CN" w:bidi="ar"/>
        </w:rPr>
        <w:t>核查不到位。例如，未对公司</w:t>
      </w:r>
      <w:r>
        <w:rPr>
          <w:rFonts w:hint="eastAsia" w:ascii="仿宋" w:hAnsi="仿宋" w:eastAsia="仿宋" w:cs="仿宋"/>
          <w:i w:val="0"/>
          <w:iCs w:val="0"/>
          <w:caps w:val="0"/>
          <w:spacing w:val="0"/>
          <w:kern w:val="0"/>
          <w:sz w:val="32"/>
          <w:szCs w:val="32"/>
          <w:highlight w:val="none"/>
          <w:u w:val="none"/>
          <w:shd w:val="clear"/>
          <w:lang w:bidi="ar"/>
        </w:rPr>
        <w:t>支付其他应付款的凭证附件只有银行回单保持职业怀疑</w:t>
      </w:r>
      <w:r>
        <w:rPr>
          <w:rFonts w:hint="eastAsia" w:ascii="仿宋" w:hAnsi="仿宋" w:eastAsia="仿宋" w:cs="仿宋"/>
          <w:i w:val="0"/>
          <w:iCs w:val="0"/>
          <w:caps w:val="0"/>
          <w:spacing w:val="0"/>
          <w:kern w:val="0"/>
          <w:sz w:val="32"/>
          <w:szCs w:val="32"/>
          <w:highlight w:val="none"/>
          <w:u w:val="none"/>
          <w:shd w:val="clear"/>
          <w:lang w:eastAsia="zh-CN" w:bidi="ar"/>
        </w:rPr>
        <w:t>，</w:t>
      </w:r>
      <w:r>
        <w:rPr>
          <w:rFonts w:hint="eastAsia" w:ascii="仿宋" w:hAnsi="仿宋" w:eastAsia="仿宋" w:cs="仿宋"/>
          <w:i w:val="0"/>
          <w:iCs w:val="0"/>
          <w:caps w:val="0"/>
          <w:spacing w:val="0"/>
          <w:kern w:val="0"/>
          <w:sz w:val="32"/>
          <w:szCs w:val="32"/>
          <w:highlight w:val="none"/>
          <w:u w:val="none"/>
          <w:shd w:val="clear"/>
          <w:lang w:bidi="ar"/>
        </w:rPr>
        <w:t>未关注到</w:t>
      </w:r>
      <w:r>
        <w:rPr>
          <w:rFonts w:hint="eastAsia" w:ascii="仿宋" w:hAnsi="仿宋" w:eastAsia="仿宋" w:cs="仿宋"/>
          <w:i w:val="0"/>
          <w:iCs w:val="0"/>
          <w:caps w:val="0"/>
          <w:spacing w:val="0"/>
          <w:kern w:val="0"/>
          <w:sz w:val="32"/>
          <w:szCs w:val="32"/>
          <w:highlight w:val="none"/>
          <w:u w:val="none"/>
          <w:shd w:val="clear"/>
          <w:lang w:eastAsia="zh-CN" w:bidi="ar"/>
        </w:rPr>
        <w:t>相关</w:t>
      </w:r>
      <w:r>
        <w:rPr>
          <w:rFonts w:hint="eastAsia" w:ascii="仿宋" w:hAnsi="仿宋" w:eastAsia="仿宋" w:cs="仿宋"/>
          <w:i w:val="0"/>
          <w:iCs w:val="0"/>
          <w:caps w:val="0"/>
          <w:spacing w:val="0"/>
          <w:kern w:val="0"/>
          <w:sz w:val="32"/>
          <w:szCs w:val="32"/>
          <w:highlight w:val="none"/>
          <w:u w:val="none"/>
          <w:shd w:val="clear"/>
          <w:lang w:bidi="ar"/>
        </w:rPr>
        <w:t>大额付款没有付款审批手续的异常情况</w:t>
      </w:r>
      <w:r>
        <w:rPr>
          <w:rFonts w:hint="eastAsia" w:ascii="仿宋" w:hAnsi="仿宋" w:eastAsia="仿宋" w:cs="仿宋"/>
          <w:i w:val="0"/>
          <w:iCs w:val="0"/>
          <w:caps w:val="0"/>
          <w:spacing w:val="0"/>
          <w:kern w:val="0"/>
          <w:sz w:val="32"/>
          <w:szCs w:val="32"/>
          <w:highlight w:val="none"/>
          <w:u w:val="none"/>
          <w:shd w:val="clear"/>
          <w:lang w:eastAsia="zh-CN" w:bidi="ar"/>
        </w:rPr>
        <w:t>，</w:t>
      </w:r>
      <w:r>
        <w:rPr>
          <w:rFonts w:hint="eastAsia" w:ascii="仿宋" w:hAnsi="仿宋" w:eastAsia="仿宋" w:cs="仿宋"/>
          <w:i w:val="0"/>
          <w:iCs w:val="0"/>
          <w:caps w:val="0"/>
          <w:spacing w:val="0"/>
          <w:kern w:val="0"/>
          <w:sz w:val="32"/>
          <w:szCs w:val="32"/>
          <w:highlight w:val="none"/>
          <w:u w:val="none"/>
          <w:shd w:val="clear"/>
          <w:lang w:bidi="ar"/>
        </w:rPr>
        <w:t>未进一步获取付款合理性的审计证据</w:t>
      </w:r>
      <w:r>
        <w:rPr>
          <w:rFonts w:hint="eastAsia" w:ascii="仿宋" w:hAnsi="仿宋" w:eastAsia="仿宋" w:cs="仿宋"/>
          <w:i w:val="0"/>
          <w:iCs w:val="0"/>
          <w:caps w:val="0"/>
          <w:spacing w:val="0"/>
          <w:kern w:val="0"/>
          <w:sz w:val="32"/>
          <w:szCs w:val="32"/>
          <w:highlight w:val="none"/>
          <w:u w:val="none"/>
          <w:shd w:val="clear"/>
          <w:lang w:eastAsia="zh-CN" w:bidi="ar"/>
        </w:rPr>
        <w:t>，</w:t>
      </w:r>
      <w:r>
        <w:rPr>
          <w:rFonts w:hint="eastAsia" w:ascii="仿宋" w:hAnsi="仿宋" w:eastAsia="仿宋" w:cs="仿宋"/>
          <w:i w:val="0"/>
          <w:iCs w:val="0"/>
          <w:caps w:val="0"/>
          <w:spacing w:val="0"/>
          <w:kern w:val="0"/>
          <w:sz w:val="32"/>
          <w:szCs w:val="32"/>
          <w:highlight w:val="none"/>
          <w:u w:val="none"/>
          <w:shd w:val="clear"/>
          <w:lang w:bidi="ar"/>
        </w:rPr>
        <w:t>没有审慎核查往来款的商业实质。</w:t>
      </w:r>
    </w:p>
    <w:p>
      <w:pPr>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 w:hAnsi="仿宋" w:eastAsia="仿宋" w:cs="仿宋"/>
          <w:kern w:val="0"/>
          <w:sz w:val="32"/>
          <w:szCs w:val="32"/>
          <w:highlight w:val="none"/>
          <w:lang w:val="en-US" w:eastAsia="zh-CN" w:bidi="ar"/>
        </w:rPr>
      </w:pPr>
      <w:r>
        <w:rPr>
          <w:rFonts w:hint="eastAsia" w:ascii="仿宋" w:hAnsi="仿宋" w:eastAsia="仿宋" w:cs="Times New Roman"/>
          <w:color w:val="000000"/>
          <w:sz w:val="32"/>
          <w:szCs w:val="32"/>
          <w:highlight w:val="none"/>
          <w:lang w:val="en-US" w:eastAsia="zh-CN"/>
        </w:rPr>
        <w:t>7</w:t>
      </w:r>
      <w:r>
        <w:rPr>
          <w:rFonts w:hint="eastAsia" w:ascii="仿宋" w:hAnsi="仿宋" w:eastAsia="仿宋" w:cs="Times New Roman"/>
          <w:color w:val="000000"/>
          <w:sz w:val="32"/>
          <w:szCs w:val="32"/>
          <w:highlight w:val="none"/>
        </w:rPr>
        <w:t>．</w:t>
      </w:r>
      <w:r>
        <w:rPr>
          <w:rFonts w:hint="eastAsia" w:ascii="仿宋" w:hAnsi="仿宋" w:eastAsia="仿宋" w:cs="Times New Roman"/>
          <w:color w:val="000000"/>
          <w:sz w:val="32"/>
          <w:szCs w:val="32"/>
          <w:highlight w:val="none"/>
          <w:lang w:val="en-US" w:eastAsia="zh-CN"/>
        </w:rPr>
        <w:t>函证程序执行不到位。</w:t>
      </w:r>
      <w:r>
        <w:rPr>
          <w:rFonts w:hint="eastAsia" w:ascii="仿宋" w:hAnsi="仿宋" w:eastAsia="仿宋" w:cs="仿宋"/>
          <w:sz w:val="32"/>
          <w:szCs w:val="32"/>
          <w:highlight w:val="none"/>
          <w:lang w:val="en-US" w:eastAsia="zh-CN"/>
        </w:rPr>
        <w:t>例如，未核对发函收件地址及回函信息，</w:t>
      </w:r>
      <w:r>
        <w:rPr>
          <w:rFonts w:hint="eastAsia" w:ascii="仿宋" w:hAnsi="仿宋" w:eastAsia="仿宋" w:cs="仿宋"/>
          <w:i w:val="0"/>
          <w:iCs w:val="0"/>
          <w:caps w:val="0"/>
          <w:spacing w:val="0"/>
          <w:sz w:val="32"/>
          <w:szCs w:val="32"/>
          <w:highlight w:val="none"/>
          <w:u w:val="none"/>
          <w:shd w:val="clear"/>
        </w:rPr>
        <w:t>未对函证过程保持有效控制</w:t>
      </w:r>
      <w:r>
        <w:rPr>
          <w:rFonts w:hint="eastAsia" w:ascii="仿宋" w:hAnsi="仿宋" w:eastAsia="仿宋" w:cs="仿宋"/>
          <w:i w:val="0"/>
          <w:iCs w:val="0"/>
          <w:caps w:val="0"/>
          <w:spacing w:val="0"/>
          <w:sz w:val="32"/>
          <w:szCs w:val="32"/>
          <w:highlight w:val="none"/>
          <w:u w:val="none"/>
          <w:shd w:val="clear"/>
          <w:lang w:eastAsia="zh-CN"/>
        </w:rPr>
        <w:t>，</w:t>
      </w:r>
      <w:r>
        <w:rPr>
          <w:rFonts w:hint="eastAsia" w:ascii="仿宋" w:hAnsi="仿宋" w:eastAsia="仿宋" w:cs="仿宋"/>
          <w:i w:val="0"/>
          <w:iCs w:val="0"/>
          <w:caps w:val="0"/>
          <w:spacing w:val="0"/>
          <w:sz w:val="32"/>
          <w:szCs w:val="32"/>
          <w:highlight w:val="none"/>
          <w:u w:val="none"/>
          <w:shd w:val="clear"/>
        </w:rPr>
        <w:t>未审慎评估函证结果的可靠性</w:t>
      </w:r>
      <w:r>
        <w:rPr>
          <w:rFonts w:hint="eastAsia" w:ascii="仿宋" w:hAnsi="仿宋" w:eastAsia="仿宋" w:cs="仿宋"/>
          <w:i w:val="0"/>
          <w:iCs w:val="0"/>
          <w:caps w:val="0"/>
          <w:spacing w:val="0"/>
          <w:sz w:val="32"/>
          <w:szCs w:val="32"/>
          <w:highlight w:val="none"/>
          <w:u w:val="none"/>
          <w:shd w:val="clear"/>
          <w:lang w:eastAsia="zh-CN"/>
        </w:rPr>
        <w:t>，</w:t>
      </w:r>
      <w:r>
        <w:rPr>
          <w:rFonts w:hint="eastAsia" w:ascii="仿宋" w:hAnsi="仿宋" w:eastAsia="仿宋" w:cs="仿宋"/>
          <w:i w:val="0"/>
          <w:iCs w:val="0"/>
          <w:caps w:val="0"/>
          <w:spacing w:val="0"/>
          <w:sz w:val="32"/>
          <w:szCs w:val="32"/>
          <w:highlight w:val="none"/>
          <w:u w:val="none"/>
          <w:shd w:val="clear"/>
        </w:rPr>
        <w:t>替代性测试程序执行不到位</w:t>
      </w:r>
      <w:r>
        <w:rPr>
          <w:rFonts w:hint="eastAsia" w:ascii="仿宋" w:hAnsi="仿宋" w:eastAsia="仿宋" w:cs="仿宋"/>
          <w:i w:val="0"/>
          <w:iCs w:val="0"/>
          <w:caps w:val="0"/>
          <w:spacing w:val="0"/>
          <w:sz w:val="32"/>
          <w:szCs w:val="32"/>
          <w:highlight w:val="none"/>
          <w:u w:val="none"/>
          <w:shd w:val="clear"/>
          <w:lang w:eastAsia="zh-CN"/>
        </w:rPr>
        <w:t>；</w:t>
      </w:r>
      <w:r>
        <w:rPr>
          <w:rFonts w:hint="eastAsia" w:ascii="仿宋" w:hAnsi="仿宋" w:eastAsia="仿宋" w:cs="仿宋"/>
          <w:i w:val="0"/>
          <w:iCs w:val="0"/>
          <w:caps w:val="0"/>
          <w:color w:val="000000"/>
          <w:spacing w:val="0"/>
          <w:sz w:val="32"/>
          <w:szCs w:val="32"/>
          <w:highlight w:val="none"/>
        </w:rPr>
        <w:t>未对询证函的回函联系人、联系方式及回函地址与函证对象的信息多处不一致</w:t>
      </w:r>
      <w:r>
        <w:rPr>
          <w:rFonts w:hint="eastAsia" w:ascii="仿宋" w:hAnsi="仿宋" w:eastAsia="仿宋" w:cs="仿宋"/>
          <w:i w:val="0"/>
          <w:iCs w:val="0"/>
          <w:caps w:val="0"/>
          <w:color w:val="000000"/>
          <w:spacing w:val="0"/>
          <w:sz w:val="32"/>
          <w:szCs w:val="32"/>
          <w:highlight w:val="none"/>
          <w:lang w:eastAsia="zh-CN"/>
        </w:rPr>
        <w:t>，</w:t>
      </w:r>
      <w:r>
        <w:rPr>
          <w:rFonts w:hint="eastAsia" w:ascii="仿宋" w:hAnsi="仿宋" w:eastAsia="仿宋" w:cs="仿宋"/>
          <w:i w:val="0"/>
          <w:iCs w:val="0"/>
          <w:caps w:val="0"/>
          <w:color w:val="000000"/>
          <w:spacing w:val="0"/>
          <w:sz w:val="32"/>
          <w:szCs w:val="32"/>
          <w:highlight w:val="none"/>
        </w:rPr>
        <w:t>不同函证对象的回函人为同一人，回函时间相同或高度集中</w:t>
      </w:r>
      <w:r>
        <w:rPr>
          <w:rFonts w:hint="eastAsia" w:ascii="仿宋" w:hAnsi="仿宋" w:eastAsia="仿宋" w:cs="仿宋"/>
          <w:i w:val="0"/>
          <w:iCs w:val="0"/>
          <w:caps w:val="0"/>
          <w:color w:val="000000"/>
          <w:spacing w:val="0"/>
          <w:sz w:val="32"/>
          <w:szCs w:val="32"/>
          <w:highlight w:val="none"/>
          <w:lang w:val="en-US" w:eastAsia="zh-CN"/>
        </w:rPr>
        <w:t>等</w:t>
      </w:r>
      <w:r>
        <w:rPr>
          <w:rFonts w:hint="eastAsia" w:ascii="仿宋" w:hAnsi="仿宋" w:eastAsia="仿宋" w:cs="仿宋"/>
          <w:i w:val="0"/>
          <w:iCs w:val="0"/>
          <w:caps w:val="0"/>
          <w:color w:val="000000"/>
          <w:spacing w:val="0"/>
          <w:sz w:val="32"/>
          <w:szCs w:val="32"/>
          <w:highlight w:val="none"/>
        </w:rPr>
        <w:t>异常情况保持职业怀疑</w:t>
      </w:r>
      <w:r>
        <w:rPr>
          <w:rFonts w:hint="eastAsia" w:ascii="仿宋" w:hAnsi="仿宋" w:eastAsia="仿宋" w:cs="仿宋"/>
          <w:kern w:val="0"/>
          <w:sz w:val="32"/>
          <w:szCs w:val="32"/>
          <w:highlight w:val="none"/>
          <w:lang w:val="en-US" w:eastAsia="zh-CN" w:bidi="ar"/>
        </w:rPr>
        <w:t>等。</w:t>
      </w:r>
    </w:p>
    <w:p>
      <w:pPr>
        <w:keepNext w:val="0"/>
        <w:keepLines w:val="0"/>
        <w:pageBreakBefore w:val="0"/>
        <w:kinsoku/>
        <w:wordWrap/>
        <w:overflowPunct/>
        <w:topLinePunct/>
        <w:bidi w:val="0"/>
        <w:adjustRightInd w:val="0"/>
        <w:snapToGrid w:val="0"/>
        <w:spacing w:beforeLines="0" w:afterLines="0"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8</w:t>
      </w:r>
      <w:r>
        <w:rPr>
          <w:rFonts w:hint="eastAsia" w:ascii="仿宋" w:hAnsi="仿宋" w:eastAsia="仿宋" w:cs="Times New Roman"/>
          <w:color w:val="000000"/>
          <w:sz w:val="32"/>
          <w:szCs w:val="32"/>
          <w:highlight w:val="none"/>
        </w:rPr>
        <w:t>．评估人员</w:t>
      </w:r>
      <w:r>
        <w:rPr>
          <w:rFonts w:hint="eastAsia" w:ascii="仿宋" w:hAnsi="仿宋" w:eastAsia="仿宋" w:cs="Times New Roman"/>
          <w:color w:val="000000"/>
          <w:sz w:val="32"/>
          <w:szCs w:val="32"/>
          <w:highlight w:val="none"/>
          <w:lang w:eastAsia="zh-CN"/>
        </w:rPr>
        <w:t>采用成本法进行评估时，</w:t>
      </w:r>
      <w:r>
        <w:rPr>
          <w:rFonts w:hint="eastAsia" w:ascii="仿宋" w:hAnsi="仿宋" w:eastAsia="仿宋" w:cs="Times New Roman"/>
          <w:color w:val="000000"/>
          <w:sz w:val="32"/>
          <w:szCs w:val="32"/>
          <w:highlight w:val="none"/>
        </w:rPr>
        <w:t>将共有宗地全部面积的土地成本计入待估房产成本，但未考虑共有宗地上其他共有人的权益；案外公司与买方签订的商品房现房买卖合同后附补充协议的约定对成本法下及最终的房产评估值均构成重大影响，进而对股权评估值存在重大影响</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然而，评估工作底稿中未见对上述事项进行分析、判断和处理的记录，计算评估值时也未考虑上述事项的影响，评估报告中亦未披露相关情况；评估报告中未说明案外公司银行账户被法院申请冻结的情况。</w:t>
      </w:r>
    </w:p>
    <w:p>
      <w:pPr>
        <w:spacing w:before="316" w:beforeLines="100" w:after="316" w:afterLines="100" w:line="560" w:lineRule="exact"/>
        <w:jc w:val="center"/>
        <w:textAlignment w:val="center"/>
        <w:rPr>
          <w:rFonts w:ascii="Times New Roman" w:hAnsi="Times New Roman" w:eastAsia="方正小标宋简体"/>
          <w:color w:val="000000"/>
          <w:spacing w:val="12"/>
          <w:sz w:val="44"/>
          <w:szCs w:val="44"/>
          <w:highlight w:val="none"/>
        </w:rPr>
      </w:pPr>
    </w:p>
    <w:p>
      <w:pPr>
        <w:spacing w:before="158" w:beforeLines="50" w:line="560" w:lineRule="exact"/>
        <w:ind w:right="1049"/>
        <w:jc w:val="right"/>
        <w:textAlignment w:val="center"/>
        <w:rPr>
          <w:rFonts w:ascii="Times New Roman" w:hAnsi="Times New Roman" w:eastAsia="方正小标宋简体"/>
          <w:b/>
          <w:bCs/>
          <w:spacing w:val="312"/>
          <w:kern w:val="0"/>
          <w:sz w:val="56"/>
          <w:szCs w:val="56"/>
          <w:highlight w:val="none"/>
        </w:rPr>
        <w:sectPr>
          <w:headerReference r:id="rId8" w:type="default"/>
          <w:footerReference r:id="rId9" w:type="default"/>
          <w:pgSz w:w="11906" w:h="16157"/>
          <w:pgMar w:top="1440" w:right="1800" w:bottom="1440" w:left="1800" w:header="964" w:footer="1077" w:gutter="0"/>
          <w:pgNumType w:fmt="decimal" w:start="1"/>
          <w:cols w:space="0" w:num="1"/>
          <w:docGrid w:type="lines" w:linePitch="316" w:charSpace="0"/>
        </w:sectPr>
      </w:pPr>
    </w:p>
    <w:p>
      <w:pPr>
        <w:keepNext w:val="0"/>
        <w:keepLines w:val="0"/>
        <w:pageBreakBefore w:val="0"/>
        <w:kinsoku/>
        <w:wordWrap/>
        <w:overflowPunct/>
        <w:topLinePunct/>
        <w:autoSpaceDN/>
        <w:bidi w:val="0"/>
        <w:adjustRightInd w:val="0"/>
        <w:snapToGrid w:val="0"/>
        <w:spacing w:beforeLines="0" w:afterLines="0" w:line="560" w:lineRule="exact"/>
        <w:ind w:left="0" w:right="0" w:rightChars="0" w:firstLine="640" w:firstLineChars="200"/>
        <w:textAlignment w:val="auto"/>
        <w:outlineLvl w:val="0"/>
        <w:rPr>
          <w:rFonts w:hint="eastAsia" w:ascii="黑体" w:hAnsi="黑体" w:eastAsia="黑体" w:cs="Times New Roman"/>
          <w:color w:val="000000"/>
          <w:sz w:val="32"/>
          <w:szCs w:val="32"/>
          <w:highlight w:val="none"/>
          <w:lang w:val="en-US" w:eastAsia="zh-CN"/>
        </w:rPr>
      </w:pPr>
      <w:r>
        <w:rPr>
          <w:rFonts w:hint="eastAsia" w:ascii="黑体" w:hAnsi="黑体" w:eastAsia="黑体" w:cs="Times New Roman"/>
          <w:color w:val="000000"/>
          <w:sz w:val="32"/>
          <w:szCs w:val="32"/>
          <w:highlight w:val="none"/>
          <w:lang w:val="en-US" w:eastAsia="zh-CN"/>
        </w:rPr>
        <w:t>二、审计执业问题分析</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outlineLvl w:val="1"/>
        <w:rPr>
          <w:rFonts w:hint="eastAsia" w:ascii="楷体" w:hAnsi="楷体" w:eastAsia="楷体" w:cs="楷体"/>
          <w:color w:val="000000"/>
          <w:kern w:val="0"/>
          <w:sz w:val="31"/>
          <w:szCs w:val="31"/>
          <w:highlight w:val="none"/>
          <w:lang w:val="en-US" w:eastAsia="zh-CN" w:bidi="ar"/>
        </w:rPr>
      </w:pPr>
      <w:r>
        <w:rPr>
          <w:rFonts w:hint="eastAsia" w:ascii="楷体" w:hAnsi="楷体" w:eastAsia="楷体" w:cs="楷体"/>
          <w:color w:val="000000"/>
          <w:kern w:val="0"/>
          <w:sz w:val="31"/>
          <w:szCs w:val="31"/>
          <w:highlight w:val="none"/>
          <w:lang w:val="en-US" w:eastAsia="zh-CN" w:bidi="ar"/>
        </w:rPr>
        <w:t>问题1：集团项目组应如何利用好境外组成部分会计师的工作？</w:t>
      </w:r>
    </w:p>
    <w:p>
      <w:pPr>
        <w:keepNext w:val="0"/>
        <w:keepLines w:val="0"/>
        <w:pageBreakBefore w:val="0"/>
        <w:widowControl/>
        <w:suppressLineNumbers w:val="0"/>
        <w:kinsoku/>
        <w:wordWrap/>
        <w:overflowPunct/>
        <w:autoSpaceDN/>
        <w:bidi w:val="0"/>
        <w:spacing w:line="560" w:lineRule="exact"/>
        <w:ind w:firstLine="643" w:firstLineChars="200"/>
        <w:jc w:val="both"/>
        <w:textAlignment w:val="auto"/>
        <w:rPr>
          <w:rFonts w:hint="default" w:ascii="仿宋" w:hAnsi="仿宋" w:eastAsia="仿宋" w:cs="仿宋"/>
          <w:sz w:val="32"/>
          <w:szCs w:val="32"/>
          <w:highlight w:val="none"/>
          <w:lang w:val="en-US" w:eastAsia="zh-CN"/>
        </w:rPr>
      </w:pPr>
      <w:r>
        <w:rPr>
          <w:rFonts w:ascii="仿宋" w:hAnsi="仿宋" w:eastAsia="仿宋" w:cs="仿宋"/>
          <w:b/>
          <w:bCs/>
          <w:color w:val="000000"/>
          <w:kern w:val="0"/>
          <w:sz w:val="32"/>
          <w:szCs w:val="32"/>
          <w:highlight w:val="none"/>
          <w:lang w:val="en-US" w:eastAsia="zh-CN" w:bidi="ar"/>
        </w:rPr>
        <w:t>情形：</w:t>
      </w:r>
      <w:r>
        <w:rPr>
          <w:rFonts w:hint="eastAsia" w:ascii="仿宋" w:hAnsi="仿宋" w:eastAsia="仿宋" w:cs="仿宋"/>
          <w:sz w:val="32"/>
          <w:szCs w:val="32"/>
          <w:highlight w:val="none"/>
          <w:lang w:val="en-US" w:eastAsia="zh-CN"/>
        </w:rPr>
        <w:t>A会计师事务所为上市公司L集团</w:t>
      </w:r>
      <w:r>
        <w:rPr>
          <w:rFonts w:hint="eastAsia" w:ascii="仿宋" w:hAnsi="仿宋" w:eastAsia="仿宋" w:cs="仿宋"/>
          <w:sz w:val="32"/>
          <w:szCs w:val="32"/>
          <w:highlight w:val="none"/>
          <w:lang w:eastAsia="zh-CN"/>
        </w:rPr>
        <w:t>的年审机构。</w:t>
      </w:r>
      <w:r>
        <w:rPr>
          <w:rFonts w:hint="eastAsia" w:ascii="仿宋" w:hAnsi="仿宋" w:eastAsia="仿宋" w:cs="仿宋"/>
          <w:sz w:val="32"/>
          <w:szCs w:val="32"/>
          <w:highlight w:val="none"/>
          <w:lang w:val="en-US" w:eastAsia="zh-CN"/>
        </w:rPr>
        <w:t>A会计师事务所的集团项目组，聘请F国当地的B注册会计师作为组成部分会计师，</w:t>
      </w:r>
      <w:r>
        <w:rPr>
          <w:rFonts w:hint="eastAsia" w:ascii="仿宋" w:hAnsi="仿宋" w:eastAsia="仿宋" w:cs="仿宋"/>
          <w:sz w:val="32"/>
          <w:szCs w:val="32"/>
          <w:highlight w:val="none"/>
          <w:lang w:eastAsia="zh-CN"/>
        </w:rPr>
        <w:t>对</w:t>
      </w:r>
      <w:r>
        <w:rPr>
          <w:rFonts w:hint="eastAsia" w:ascii="仿宋" w:hAnsi="仿宋" w:eastAsia="仿宋" w:cs="仿宋"/>
          <w:sz w:val="32"/>
          <w:szCs w:val="32"/>
          <w:highlight w:val="none"/>
          <w:lang w:val="en-US" w:eastAsia="zh-CN"/>
        </w:rPr>
        <w:t>L集团在F国的境外子公司M公司进行审计</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M公司存货科目的期末余额大于L公司集团财务报表实际执行的重要性水平。B注册会计师在对M公司存货科目审计时，存在监盘比例低、编制的监盘表显示</w:t>
      </w:r>
      <w:r>
        <w:rPr>
          <w:rFonts w:hint="eastAsia" w:ascii="仿宋" w:hAnsi="仿宋" w:eastAsia="仿宋" w:cs="仿宋"/>
          <w:sz w:val="32"/>
          <w:szCs w:val="32"/>
          <w:highlight w:val="none"/>
          <w:lang w:eastAsia="zh-CN"/>
        </w:rPr>
        <w:t>多项</w:t>
      </w:r>
      <w:r>
        <w:rPr>
          <w:rFonts w:hint="eastAsia" w:ascii="仿宋" w:hAnsi="仿宋" w:eastAsia="仿宋" w:cs="仿宋"/>
          <w:sz w:val="32"/>
          <w:szCs w:val="32"/>
          <w:highlight w:val="none"/>
        </w:rPr>
        <w:t>存货实盘数</w:t>
      </w:r>
      <w:r>
        <w:rPr>
          <w:rFonts w:hint="eastAsia" w:ascii="仿宋" w:hAnsi="仿宋" w:eastAsia="仿宋" w:cs="仿宋"/>
          <w:sz w:val="32"/>
          <w:szCs w:val="32"/>
          <w:highlight w:val="none"/>
          <w:lang w:eastAsia="zh-CN"/>
        </w:rPr>
        <w:t>与</w:t>
      </w:r>
      <w:r>
        <w:rPr>
          <w:rFonts w:hint="eastAsia" w:ascii="仿宋" w:hAnsi="仿宋" w:eastAsia="仿宋" w:cs="仿宋"/>
          <w:sz w:val="32"/>
          <w:szCs w:val="32"/>
          <w:highlight w:val="none"/>
        </w:rPr>
        <w:t>库存数</w:t>
      </w:r>
      <w:r>
        <w:rPr>
          <w:rFonts w:hint="eastAsia" w:ascii="仿宋" w:hAnsi="仿宋" w:eastAsia="仿宋" w:cs="仿宋"/>
          <w:sz w:val="32"/>
          <w:szCs w:val="32"/>
          <w:highlight w:val="none"/>
          <w:lang w:eastAsia="zh-CN"/>
        </w:rPr>
        <w:t>存在差异等问题，未获取充分、适当的审计证据。在此情形下，</w:t>
      </w:r>
      <w:r>
        <w:rPr>
          <w:rFonts w:hint="eastAsia" w:ascii="仿宋" w:hAnsi="仿宋" w:eastAsia="仿宋" w:cs="仿宋"/>
          <w:sz w:val="32"/>
          <w:szCs w:val="32"/>
          <w:highlight w:val="none"/>
        </w:rPr>
        <w:t>集团项目组未进一步调查</w:t>
      </w:r>
      <w:r>
        <w:rPr>
          <w:rFonts w:hint="eastAsia" w:ascii="仿宋" w:hAnsi="仿宋" w:eastAsia="仿宋" w:cs="仿宋"/>
          <w:sz w:val="32"/>
          <w:szCs w:val="32"/>
          <w:highlight w:val="none"/>
          <w:lang w:eastAsia="zh-CN"/>
        </w:rPr>
        <w:t>存货监盘</w:t>
      </w:r>
      <w:r>
        <w:rPr>
          <w:rFonts w:hint="eastAsia" w:ascii="仿宋" w:hAnsi="仿宋" w:eastAsia="仿宋" w:cs="仿宋"/>
          <w:sz w:val="32"/>
          <w:szCs w:val="32"/>
          <w:highlight w:val="none"/>
        </w:rPr>
        <w:t>差异原因</w:t>
      </w:r>
      <w:r>
        <w:rPr>
          <w:rFonts w:hint="eastAsia" w:ascii="仿宋" w:hAnsi="仿宋" w:eastAsia="仿宋" w:cs="仿宋"/>
          <w:sz w:val="32"/>
          <w:szCs w:val="32"/>
          <w:highlight w:val="none"/>
          <w:lang w:eastAsia="zh-CN"/>
        </w:rPr>
        <w:t>，并充分复核相关审计底稿及结论。</w:t>
      </w:r>
      <w:r>
        <w:rPr>
          <w:rFonts w:hint="eastAsia" w:ascii="仿宋" w:hAnsi="仿宋" w:eastAsia="仿宋" w:cs="仿宋"/>
          <w:sz w:val="32"/>
          <w:szCs w:val="32"/>
          <w:highlight w:val="none"/>
          <w:lang w:val="en-US" w:eastAsia="zh-CN"/>
        </w:rPr>
        <w:t>集团项目组是否恰当地利用了境外B注册会计师的工作？</w:t>
      </w:r>
    </w:p>
    <w:p>
      <w:pPr>
        <w:keepNext w:val="0"/>
        <w:keepLines w:val="0"/>
        <w:pageBreakBefore w:val="0"/>
        <w:widowControl w:val="0"/>
        <w:suppressLineNumbers w:val="0"/>
        <w:shd w:val="clear"/>
        <w:kinsoku/>
        <w:wordWrap/>
        <w:overflowPunct/>
        <w:autoSpaceDE w:val="0"/>
        <w:autoSpaceDN/>
        <w:bidi w:val="0"/>
        <w:spacing w:before="0" w:beforeLines="0" w:beforeAutospacing="0" w:after="0" w:afterLines="0" w:afterAutospacing="0" w:line="560" w:lineRule="exact"/>
        <w:ind w:left="0" w:right="0" w:firstLine="643" w:firstLineChars="200"/>
        <w:jc w:val="both"/>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b/>
          <w:bCs/>
          <w:color w:val="000000"/>
          <w:kern w:val="0"/>
          <w:sz w:val="32"/>
          <w:szCs w:val="32"/>
          <w:highlight w:val="none"/>
          <w:lang w:val="en-US" w:eastAsia="zh-CN" w:bidi="ar"/>
        </w:rPr>
        <w:t>分析</w:t>
      </w:r>
      <w:r>
        <w:rPr>
          <w:rFonts w:ascii="仿宋" w:hAnsi="仿宋" w:eastAsia="仿宋" w:cs="仿宋"/>
          <w:b/>
          <w:bCs/>
          <w:color w:val="000000"/>
          <w:kern w:val="0"/>
          <w:sz w:val="32"/>
          <w:szCs w:val="32"/>
          <w:highlight w:val="none"/>
          <w:lang w:val="en-US" w:eastAsia="zh-CN" w:bidi="ar"/>
        </w:rPr>
        <w:t>：</w:t>
      </w:r>
      <w:r>
        <w:rPr>
          <w:rFonts w:hint="eastAsia" w:ascii="仿宋" w:hAnsi="仿宋" w:eastAsia="仿宋" w:cs="仿宋"/>
          <w:sz w:val="32"/>
          <w:szCs w:val="32"/>
          <w:highlight w:val="none"/>
          <w:lang w:eastAsia="zh-CN"/>
        </w:rPr>
        <w:t>因境外组成部分会计师可能处于不同的监管环境、执业习惯不同等原因，其执行的审计程序可能无法满足集团项目组的要求。《中国注册会计师审计准则第</w:t>
      </w:r>
      <w:r>
        <w:rPr>
          <w:rFonts w:hint="eastAsia" w:ascii="仿宋" w:hAnsi="仿宋" w:eastAsia="仿宋" w:cs="仿宋"/>
          <w:sz w:val="32"/>
          <w:szCs w:val="32"/>
          <w:highlight w:val="none"/>
          <w:lang w:val="en-US" w:eastAsia="zh-CN"/>
        </w:rPr>
        <w:t>1401号</w:t>
      </w:r>
      <w:r>
        <w:rPr>
          <w:rFonts w:hint="eastAsia" w:ascii="仿宋" w:hAnsi="仿宋" w:eastAsia="仿宋" w:cs="仿宋"/>
          <w:sz w:val="32"/>
          <w:szCs w:val="32"/>
          <w:highlight w:val="none"/>
        </w:rPr>
        <w:t>——</w:t>
      </w:r>
      <w:r>
        <w:rPr>
          <w:rFonts w:hint="eastAsia" w:ascii="仿宋" w:hAnsi="仿宋" w:eastAsia="仿宋" w:cs="仿宋"/>
          <w:sz w:val="32"/>
          <w:szCs w:val="32"/>
          <w:highlight w:val="none"/>
          <w:lang w:eastAsia="zh-CN"/>
        </w:rPr>
        <w:t>对集团财务报表审计的特殊考虑》第十一节规定，集团项目组应确认组成部分会计师的工作是否充分；若不充分，集团项目组</w:t>
      </w:r>
      <w:r>
        <w:rPr>
          <w:rFonts w:hint="eastAsia" w:ascii="仿宋" w:hAnsi="仿宋" w:eastAsia="仿宋" w:cs="仿宋"/>
          <w:sz w:val="32"/>
          <w:szCs w:val="32"/>
          <w:highlight w:val="none"/>
          <w:lang w:val="en-US" w:eastAsia="zh-CN"/>
        </w:rPr>
        <w:t>应确定需要实施哪些追加程序以及这些程序由集团项目组或组成部分会计师实施。</w:t>
      </w:r>
    </w:p>
    <w:p>
      <w:pPr>
        <w:keepNext w:val="0"/>
        <w:keepLines w:val="0"/>
        <w:pageBreakBefore w:val="0"/>
        <w:widowControl w:val="0"/>
        <w:suppressLineNumbers w:val="0"/>
        <w:shd w:val="clear"/>
        <w:kinsoku/>
        <w:wordWrap/>
        <w:overflowPunct/>
        <w:autoSpaceDE w:val="0"/>
        <w:autoSpaceDN/>
        <w:bidi w:val="0"/>
        <w:spacing w:before="0" w:beforeLines="0" w:beforeAutospacing="0" w:after="0" w:afterLines="0" w:afterAutospacing="0" w:line="560" w:lineRule="exact"/>
        <w:ind w:left="0" w:right="0" w:firstLine="640" w:firstLineChars="200"/>
        <w:jc w:val="both"/>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在前述案例中，集团项目组在B注册会计师审计程序执行不到位。在相关境外存货风险较高的情况下，集团项目组应了解监盘差异原因，复核组成部分会计师的底稿，并执行追加审计程序，以确定审计风险降至可接受的低水平。</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outlineLvl w:val="1"/>
        <w:rPr>
          <w:rFonts w:hint="default" w:ascii="楷体" w:hAnsi="楷体" w:eastAsia="楷体" w:cs="楷体"/>
          <w:color w:val="000000"/>
          <w:kern w:val="0"/>
          <w:sz w:val="31"/>
          <w:szCs w:val="31"/>
          <w:highlight w:val="none"/>
          <w:lang w:val="en-US" w:eastAsia="zh-CN" w:bidi="ar"/>
        </w:rPr>
      </w:pPr>
      <w:r>
        <w:rPr>
          <w:rFonts w:hint="eastAsia" w:ascii="楷体" w:hAnsi="楷体" w:eastAsia="楷体" w:cs="楷体"/>
          <w:color w:val="000000"/>
          <w:kern w:val="0"/>
          <w:sz w:val="31"/>
          <w:szCs w:val="31"/>
          <w:highlight w:val="none"/>
          <w:lang w:val="en-US" w:eastAsia="zh-CN" w:bidi="ar"/>
        </w:rPr>
        <w:t>问题2：注册会计师在对被审计单位境外业务或资产审计时应当关注哪些方面？</w:t>
      </w:r>
    </w:p>
    <w:p>
      <w:pPr>
        <w:keepNext w:val="0"/>
        <w:keepLines w:val="0"/>
        <w:pageBreakBefore w:val="0"/>
        <w:widowControl w:val="0"/>
        <w:suppressLineNumbers w:val="0"/>
        <w:kinsoku/>
        <w:wordWrap/>
        <w:overflowPunct/>
        <w:topLinePunct/>
        <w:autoSpaceDE w:val="0"/>
        <w:autoSpaceDN/>
        <w:bidi w:val="0"/>
        <w:adjustRightInd w:val="0"/>
        <w:snapToGrid w:val="0"/>
        <w:spacing w:before="0" w:beforeLines="0" w:beforeAutospacing="0" w:after="0" w:afterLines="0" w:afterAutospacing="0" w:line="560" w:lineRule="exact"/>
        <w:ind w:left="0" w:right="0" w:firstLine="643" w:firstLineChars="200"/>
        <w:jc w:val="both"/>
        <w:textAlignment w:val="auto"/>
        <w:outlineLvl w:val="9"/>
        <w:rPr>
          <w:rFonts w:hint="eastAsia" w:ascii="仿宋" w:hAnsi="仿宋" w:eastAsia="仿宋" w:cs="仿宋"/>
          <w:kern w:val="2"/>
          <w:sz w:val="32"/>
          <w:szCs w:val="32"/>
          <w:highlight w:val="none"/>
          <w:lang w:val="en-US" w:eastAsia="zh-CN" w:bidi="ar"/>
        </w:rPr>
      </w:pPr>
      <w:r>
        <w:rPr>
          <w:rFonts w:hint="eastAsia" w:ascii="仿宋" w:hAnsi="仿宋" w:eastAsia="仿宋" w:cs="仿宋"/>
          <w:b/>
          <w:bCs/>
          <w:kern w:val="2"/>
          <w:sz w:val="32"/>
          <w:szCs w:val="32"/>
          <w:highlight w:val="none"/>
          <w:lang w:val="en-US" w:eastAsia="zh-CN" w:bidi="ar"/>
        </w:rPr>
        <w:t>情形：</w:t>
      </w:r>
      <w:r>
        <w:rPr>
          <w:rFonts w:hint="eastAsia" w:ascii="仿宋" w:hAnsi="仿宋" w:eastAsia="仿宋" w:cs="仿宋"/>
          <w:kern w:val="2"/>
          <w:sz w:val="32"/>
          <w:szCs w:val="32"/>
          <w:highlight w:val="none"/>
          <w:lang w:val="en-US" w:eastAsia="zh-CN" w:bidi="ar"/>
        </w:rPr>
        <w:t>C注册会计师为上市公司N的年审项目签字注册会计师，已连续多年为其出具年度审计报告。20X4年末N公司在G国的光伏项目</w:t>
      </w:r>
      <w:r>
        <w:rPr>
          <w:rFonts w:hint="eastAsia" w:ascii="仿宋" w:hAnsi="仿宋" w:eastAsia="仿宋" w:cs="仿宋"/>
          <w:sz w:val="32"/>
          <w:szCs w:val="32"/>
          <w:highlight w:val="none"/>
          <w:lang w:val="en-US" w:eastAsia="zh-CN"/>
        </w:rPr>
        <w:t>所涉合同资产余额为人民币5亿元，约占N公司当年净资产的140%。该项目原定工期12个月，目前已建设7年且仍未完工，且在</w:t>
      </w:r>
      <w:r>
        <w:rPr>
          <w:rFonts w:hint="eastAsia" w:ascii="仿宋" w:hAnsi="仿宋" w:eastAsia="仿宋"/>
          <w:bCs/>
          <w:sz w:val="32"/>
          <w:szCs w:val="32"/>
          <w:highlight w:val="none"/>
        </w:rPr>
        <w:t>第</w:t>
      </w:r>
      <w:r>
        <w:rPr>
          <w:rFonts w:hint="eastAsia" w:ascii="仿宋" w:hAnsi="仿宋" w:eastAsia="仿宋"/>
          <w:bCs/>
          <w:sz w:val="32"/>
          <w:szCs w:val="32"/>
          <w:highlight w:val="none"/>
          <w:lang w:val="en-US" w:eastAsia="zh-CN"/>
        </w:rPr>
        <w:t>4</w:t>
      </w:r>
      <w:r>
        <w:rPr>
          <w:rFonts w:hint="eastAsia" w:ascii="仿宋" w:hAnsi="仿宋" w:eastAsia="仿宋"/>
          <w:bCs/>
          <w:sz w:val="32"/>
          <w:szCs w:val="32"/>
          <w:highlight w:val="none"/>
        </w:rPr>
        <w:t>年完工进度</w:t>
      </w:r>
      <w:r>
        <w:rPr>
          <w:rFonts w:hint="eastAsia" w:ascii="仿宋" w:hAnsi="仿宋" w:eastAsia="仿宋"/>
          <w:bCs/>
          <w:sz w:val="32"/>
          <w:szCs w:val="32"/>
          <w:highlight w:val="none"/>
          <w:lang w:eastAsia="zh-CN"/>
        </w:rPr>
        <w:t>达</w:t>
      </w:r>
      <w:r>
        <w:rPr>
          <w:rFonts w:hint="eastAsia" w:ascii="仿宋" w:hAnsi="仿宋" w:eastAsia="仿宋"/>
          <w:bCs/>
          <w:sz w:val="32"/>
          <w:szCs w:val="32"/>
          <w:highlight w:val="none"/>
          <w:lang w:val="en-US" w:eastAsia="zh-CN"/>
        </w:rPr>
        <w:t>96</w:t>
      </w:r>
      <w:r>
        <w:rPr>
          <w:rFonts w:hint="eastAsia" w:ascii="仿宋" w:hAnsi="仿宋" w:eastAsia="仿宋"/>
          <w:bCs/>
          <w:sz w:val="32"/>
          <w:szCs w:val="32"/>
          <w:highlight w:val="none"/>
        </w:rPr>
        <w:t>%之后未</w:t>
      </w:r>
      <w:r>
        <w:rPr>
          <w:rFonts w:hint="eastAsia" w:ascii="仿宋" w:hAnsi="仿宋" w:eastAsia="仿宋"/>
          <w:bCs/>
          <w:sz w:val="32"/>
          <w:szCs w:val="32"/>
          <w:highlight w:val="none"/>
          <w:lang w:eastAsia="zh-CN"/>
        </w:rPr>
        <w:t>再</w:t>
      </w:r>
      <w:r>
        <w:rPr>
          <w:rFonts w:hint="eastAsia" w:ascii="仿宋" w:hAnsi="仿宋" w:eastAsia="仿宋"/>
          <w:bCs/>
          <w:sz w:val="32"/>
          <w:szCs w:val="32"/>
          <w:highlight w:val="none"/>
        </w:rPr>
        <w:t>有任何进展</w:t>
      </w:r>
      <w:r>
        <w:rPr>
          <w:rFonts w:hint="eastAsia" w:ascii="仿宋" w:hAnsi="仿宋" w:eastAsia="仿宋"/>
          <w:b w:val="0"/>
          <w:bCs/>
          <w:sz w:val="32"/>
          <w:szCs w:val="32"/>
          <w:highlight w:val="none"/>
          <w:lang w:eastAsia="zh-CN"/>
        </w:rPr>
        <w:t>。</w:t>
      </w:r>
      <w:r>
        <w:rPr>
          <w:rFonts w:hint="eastAsia" w:ascii="仿宋" w:hAnsi="仿宋" w:eastAsia="仿宋" w:cs="仿宋"/>
          <w:kern w:val="2"/>
          <w:sz w:val="32"/>
          <w:szCs w:val="32"/>
          <w:highlight w:val="none"/>
          <w:lang w:val="en-US" w:eastAsia="zh-CN" w:bidi="ar"/>
        </w:rPr>
        <w:t>C注册会计师</w:t>
      </w:r>
      <w:r>
        <w:rPr>
          <w:rFonts w:hint="eastAsia" w:ascii="仿宋" w:hAnsi="仿宋" w:eastAsia="仿宋" w:cs="仿宋"/>
          <w:sz w:val="32"/>
          <w:szCs w:val="32"/>
          <w:highlight w:val="none"/>
          <w:lang w:bidi="ar"/>
        </w:rPr>
        <w:t>以前年度未对</w:t>
      </w:r>
      <w:r>
        <w:rPr>
          <w:rFonts w:hint="eastAsia" w:ascii="仿宋" w:hAnsi="仿宋" w:eastAsia="仿宋" w:cs="仿宋"/>
          <w:sz w:val="32"/>
          <w:szCs w:val="32"/>
          <w:highlight w:val="none"/>
          <w:lang w:eastAsia="zh-CN" w:bidi="ar"/>
        </w:rPr>
        <w:t>该</w:t>
      </w:r>
      <w:r>
        <w:rPr>
          <w:rFonts w:hint="eastAsia" w:ascii="仿宋" w:hAnsi="仿宋" w:eastAsia="仿宋" w:cs="仿宋"/>
          <w:sz w:val="32"/>
          <w:szCs w:val="32"/>
          <w:highlight w:val="none"/>
          <w:lang w:bidi="ar"/>
        </w:rPr>
        <w:t>光伏项目进行现场审计或现场审计时间极短</w:t>
      </w:r>
      <w:r>
        <w:rPr>
          <w:rFonts w:hint="eastAsia" w:ascii="仿宋" w:hAnsi="仿宋" w:eastAsia="仿宋" w:cs="仿宋"/>
          <w:sz w:val="32"/>
          <w:szCs w:val="32"/>
          <w:highlight w:val="none"/>
          <w:lang w:eastAsia="zh-CN" w:bidi="ar"/>
        </w:rPr>
        <w:t>，</w:t>
      </w:r>
      <w:r>
        <w:rPr>
          <w:rFonts w:hint="eastAsia" w:ascii="仿宋" w:hAnsi="仿宋" w:eastAsia="仿宋" w:cs="仿宋"/>
          <w:kern w:val="2"/>
          <w:sz w:val="32"/>
          <w:szCs w:val="32"/>
          <w:highlight w:val="none"/>
          <w:lang w:val="en-US" w:eastAsia="zh-CN" w:bidi="ar"/>
        </w:rPr>
        <w:t>在20X4年审过程中</w:t>
      </w:r>
      <w:r>
        <w:rPr>
          <w:rFonts w:hint="eastAsia" w:ascii="仿宋" w:hAnsi="仿宋" w:eastAsia="仿宋" w:cs="仿宋"/>
          <w:sz w:val="32"/>
          <w:szCs w:val="32"/>
          <w:highlight w:val="none"/>
          <w:lang w:eastAsia="zh-CN"/>
        </w:rPr>
        <w:t>未制定具体的审计计划，仅</w:t>
      </w:r>
      <w:r>
        <w:rPr>
          <w:rFonts w:hint="eastAsia" w:ascii="仿宋" w:hAnsi="仿宋" w:eastAsia="仿宋" w:cs="仿宋"/>
          <w:sz w:val="32"/>
          <w:szCs w:val="32"/>
          <w:highlight w:val="none"/>
        </w:rPr>
        <w:t>在</w:t>
      </w:r>
      <w:r>
        <w:rPr>
          <w:rFonts w:hint="eastAsia" w:ascii="仿宋" w:hAnsi="仿宋" w:eastAsia="仿宋" w:cs="仿宋"/>
          <w:sz w:val="32"/>
          <w:szCs w:val="32"/>
          <w:highlight w:val="none"/>
          <w:lang w:val="en-US" w:eastAsia="zh-CN"/>
        </w:rPr>
        <w:t>N</w:t>
      </w:r>
      <w:r>
        <w:rPr>
          <w:rFonts w:hint="eastAsia" w:ascii="仿宋" w:hAnsi="仿宋" w:eastAsia="仿宋" w:cs="仿宋"/>
          <w:sz w:val="32"/>
          <w:szCs w:val="32"/>
          <w:highlight w:val="none"/>
          <w:lang w:eastAsia="zh-CN"/>
        </w:rPr>
        <w:t>公司</w:t>
      </w:r>
      <w:r>
        <w:rPr>
          <w:rFonts w:hint="eastAsia" w:ascii="仿宋" w:hAnsi="仿宋" w:eastAsia="仿宋" w:cs="仿宋"/>
          <w:sz w:val="32"/>
          <w:szCs w:val="32"/>
          <w:highlight w:val="none"/>
        </w:rPr>
        <w:t>年报披露前一周前往</w:t>
      </w:r>
      <w:r>
        <w:rPr>
          <w:rFonts w:hint="eastAsia" w:ascii="仿宋" w:hAnsi="仿宋" w:eastAsia="仿宋" w:cs="仿宋"/>
          <w:sz w:val="32"/>
          <w:szCs w:val="32"/>
          <w:highlight w:val="none"/>
          <w:lang w:eastAsia="zh-CN"/>
        </w:rPr>
        <w:t>该</w:t>
      </w:r>
      <w:r>
        <w:rPr>
          <w:rFonts w:hint="eastAsia" w:ascii="仿宋" w:hAnsi="仿宋" w:eastAsia="仿宋" w:cs="仿宋"/>
          <w:sz w:val="32"/>
          <w:szCs w:val="32"/>
          <w:highlight w:val="none"/>
        </w:rPr>
        <w:t>项目外围</w:t>
      </w:r>
      <w:r>
        <w:rPr>
          <w:rFonts w:hint="eastAsia" w:ascii="仿宋" w:hAnsi="仿宋" w:eastAsia="仿宋" w:cs="仿宋"/>
          <w:sz w:val="32"/>
          <w:szCs w:val="32"/>
          <w:highlight w:val="none"/>
          <w:lang w:eastAsia="zh-CN"/>
        </w:rPr>
        <w:t>走访</w:t>
      </w:r>
      <w:r>
        <w:rPr>
          <w:rFonts w:hint="eastAsia" w:ascii="仿宋" w:hAnsi="仿宋" w:eastAsia="仿宋" w:cs="仿宋"/>
          <w:sz w:val="32"/>
          <w:szCs w:val="32"/>
          <w:highlight w:val="none"/>
        </w:rPr>
        <w:t>拍照，</w:t>
      </w:r>
      <w:r>
        <w:rPr>
          <w:rFonts w:hint="eastAsia" w:ascii="仿宋" w:hAnsi="仿宋" w:eastAsia="仿宋" w:cs="仿宋"/>
          <w:sz w:val="32"/>
          <w:szCs w:val="32"/>
          <w:highlight w:val="none"/>
          <w:lang w:eastAsia="zh-CN"/>
        </w:rPr>
        <w:t>未聘任组成部分会计师执行其他相关审计程序。</w:t>
      </w:r>
      <w:r>
        <w:rPr>
          <w:rFonts w:hint="eastAsia" w:ascii="仿宋" w:hAnsi="仿宋" w:eastAsia="仿宋" w:cs="仿宋"/>
          <w:kern w:val="2"/>
          <w:sz w:val="32"/>
          <w:szCs w:val="32"/>
          <w:highlight w:val="none"/>
          <w:lang w:val="en-US" w:eastAsia="zh-CN" w:bidi="ar"/>
        </w:rPr>
        <w:t>C</w:t>
      </w:r>
      <w:r>
        <w:rPr>
          <w:rFonts w:hint="eastAsia" w:ascii="仿宋" w:hAnsi="仿宋" w:eastAsia="仿宋" w:cs="仿宋"/>
          <w:b w:val="0"/>
          <w:bCs w:val="0"/>
          <w:kern w:val="2"/>
          <w:sz w:val="32"/>
          <w:szCs w:val="32"/>
          <w:highlight w:val="none"/>
          <w:lang w:val="en-US" w:eastAsia="zh-CN" w:bidi="ar"/>
        </w:rPr>
        <w:t>注册会计师是否</w:t>
      </w:r>
      <w:r>
        <w:rPr>
          <w:rFonts w:hint="eastAsia" w:ascii="仿宋" w:hAnsi="仿宋" w:eastAsia="仿宋" w:cs="仿宋"/>
          <w:sz w:val="32"/>
          <w:szCs w:val="32"/>
          <w:highlight w:val="none"/>
          <w:lang w:eastAsia="zh-CN"/>
        </w:rPr>
        <w:t>对前述项目</w:t>
      </w:r>
      <w:r>
        <w:rPr>
          <w:rFonts w:hint="eastAsia" w:ascii="仿宋" w:hAnsi="仿宋" w:eastAsia="仿宋" w:cs="仿宋"/>
          <w:sz w:val="32"/>
          <w:szCs w:val="32"/>
          <w:highlight w:val="none"/>
        </w:rPr>
        <w:t>真实性以及相关资产减值准备计提的及时性、充分性</w:t>
      </w:r>
      <w:r>
        <w:rPr>
          <w:rFonts w:hint="eastAsia" w:ascii="仿宋" w:hAnsi="仿宋" w:eastAsia="仿宋" w:cs="仿宋"/>
          <w:sz w:val="32"/>
          <w:szCs w:val="32"/>
          <w:highlight w:val="none"/>
          <w:lang w:eastAsia="zh-CN"/>
        </w:rPr>
        <w:t>执行了充分适当的审计程序</w:t>
      </w:r>
      <w:r>
        <w:rPr>
          <w:rFonts w:hint="eastAsia" w:ascii="仿宋" w:hAnsi="仿宋" w:eastAsia="仿宋" w:cs="仿宋"/>
          <w:kern w:val="2"/>
          <w:sz w:val="32"/>
          <w:szCs w:val="32"/>
          <w:highlight w:val="none"/>
          <w:lang w:val="en-US" w:eastAsia="zh-CN" w:bidi="ar"/>
        </w:rPr>
        <w:t>？</w:t>
      </w:r>
    </w:p>
    <w:p>
      <w:pPr>
        <w:keepNext w:val="0"/>
        <w:keepLines w:val="0"/>
        <w:pageBreakBefore w:val="0"/>
        <w:widowControl w:val="0"/>
        <w:suppressLineNumbers w:val="0"/>
        <w:kinsoku/>
        <w:wordWrap/>
        <w:overflowPunct/>
        <w:topLinePunct/>
        <w:autoSpaceDE w:val="0"/>
        <w:autoSpaceDN/>
        <w:bidi w:val="0"/>
        <w:adjustRightInd w:val="0"/>
        <w:snapToGrid w:val="0"/>
        <w:spacing w:before="0" w:beforeLines="0" w:beforeAutospacing="0" w:after="0" w:afterLines="0" w:afterAutospacing="0" w:line="560" w:lineRule="exact"/>
        <w:ind w:left="0" w:right="0" w:firstLine="643" w:firstLineChars="200"/>
        <w:jc w:val="both"/>
        <w:textAlignment w:val="auto"/>
        <w:outlineLvl w:val="9"/>
        <w:rPr>
          <w:rFonts w:hint="eastAsia" w:ascii="仿宋" w:hAnsi="仿宋" w:eastAsia="仿宋" w:cs="仿宋"/>
          <w:kern w:val="2"/>
          <w:sz w:val="32"/>
          <w:szCs w:val="32"/>
          <w:highlight w:val="none"/>
          <w:lang w:val="en-US" w:eastAsia="zh-CN" w:bidi="ar"/>
        </w:rPr>
      </w:pPr>
      <w:r>
        <w:rPr>
          <w:rFonts w:hint="eastAsia" w:ascii="仿宋" w:hAnsi="仿宋" w:eastAsia="仿宋" w:cs="仿宋"/>
          <w:b/>
          <w:bCs/>
          <w:kern w:val="2"/>
          <w:sz w:val="32"/>
          <w:szCs w:val="32"/>
          <w:highlight w:val="none"/>
          <w:lang w:val="en-US" w:eastAsia="zh-CN" w:bidi="ar"/>
        </w:rPr>
        <w:t>分析：</w:t>
      </w:r>
      <w:r>
        <w:rPr>
          <w:rFonts w:hint="eastAsia" w:ascii="仿宋" w:hAnsi="仿宋" w:eastAsia="仿宋" w:cs="仿宋"/>
          <w:kern w:val="2"/>
          <w:sz w:val="32"/>
          <w:szCs w:val="32"/>
          <w:highlight w:val="none"/>
          <w:lang w:val="en-US" w:eastAsia="zh-CN" w:bidi="ar"/>
        </w:rPr>
        <w:t>境外业务或资产占比较高的上市公司面临更为复杂的内外部环境，注册会计师应当充分了解上市公司所面临的经营风险和管理风险，以及可能带来的财务风险。《监管规则适用指引——审计类第2号》规定，相关注册会计师应当具有执行境外业务的胜任能力。如承接的客户存在境外业务时，应由本所人员出境执业，或恰当利用境外网络所、境外组成部分注册会计师的工作，上述会计师事务所及执业人员必须能够胜任境外业务，并且具有执行境外业务必要的素质、时间和资源；关注境外业务的交易动因、特征、环境等因素，对重要或复杂的业务开展境外现场审计等。</w:t>
      </w:r>
    </w:p>
    <w:p>
      <w:pPr>
        <w:keepNext w:val="0"/>
        <w:keepLines w:val="0"/>
        <w:pageBreakBefore w:val="0"/>
        <w:widowControl w:val="0"/>
        <w:suppressLineNumbers w:val="0"/>
        <w:kinsoku/>
        <w:wordWrap/>
        <w:overflowPunct/>
        <w:topLinePunct/>
        <w:autoSpaceDE w:val="0"/>
        <w:autoSpaceDN/>
        <w:bidi w:val="0"/>
        <w:adjustRightInd w:val="0"/>
        <w:snapToGrid w:val="0"/>
        <w:spacing w:before="0" w:beforeLines="0" w:beforeAutospacing="0" w:after="0" w:afterLines="0" w:afterAutospacing="0" w:line="560" w:lineRule="exact"/>
        <w:ind w:left="0" w:right="0" w:firstLine="640" w:firstLineChars="200"/>
        <w:jc w:val="both"/>
        <w:textAlignment w:val="auto"/>
        <w:outlineLvl w:val="9"/>
        <w:rPr>
          <w:rFonts w:hint="eastAsia" w:ascii="仿宋" w:hAnsi="仿宋" w:eastAsia="仿宋" w:cs="仿宋"/>
          <w:b w:val="0"/>
          <w:bCs w:val="0"/>
          <w:color w:val="000000"/>
          <w:kern w:val="0"/>
          <w:sz w:val="32"/>
          <w:szCs w:val="32"/>
          <w:highlight w:val="none"/>
          <w:lang w:val="en-US" w:eastAsia="zh-CN" w:bidi="ar"/>
        </w:rPr>
      </w:pPr>
      <w:r>
        <w:rPr>
          <w:rFonts w:hint="eastAsia" w:ascii="仿宋" w:hAnsi="仿宋" w:eastAsia="仿宋" w:cs="仿宋"/>
          <w:kern w:val="2"/>
          <w:sz w:val="32"/>
          <w:szCs w:val="32"/>
          <w:highlight w:val="none"/>
          <w:lang w:val="en-US" w:eastAsia="zh-CN" w:bidi="ar"/>
        </w:rPr>
        <w:t>在前述案例中，C注册会计师应当按照《监管规则适用指引——审计类第2号》《关于加大审计重点领域关注力度 控制审计风险 进一步有效识别财务舞弊的通知》等有关规定中的要求，</w:t>
      </w:r>
      <w:r>
        <w:rPr>
          <w:rFonts w:hint="eastAsia" w:ascii="仿宋" w:hAnsi="仿宋" w:eastAsia="仿宋" w:cs="仿宋"/>
          <w:b w:val="0"/>
          <w:bCs w:val="0"/>
          <w:color w:val="000000"/>
          <w:kern w:val="0"/>
          <w:sz w:val="32"/>
          <w:szCs w:val="32"/>
          <w:highlight w:val="none"/>
          <w:lang w:val="en-US" w:eastAsia="zh-CN" w:bidi="ar"/>
        </w:rPr>
        <w:t>结合N公司境外业务所在国家或地区的经济环境和企业自身发展情况，充分了解N公司内外部风险因素，评价N公司境外业务的真实性、合理性，</w:t>
      </w:r>
      <w:r>
        <w:rPr>
          <w:rFonts w:hint="eastAsia" w:ascii="仿宋" w:hAnsi="仿宋" w:eastAsia="仿宋" w:cs="仿宋"/>
          <w:spacing w:val="-5"/>
          <w:kern w:val="2"/>
          <w:sz w:val="32"/>
          <w:szCs w:val="32"/>
          <w:highlight w:val="none"/>
          <w:lang w:val="en-US" w:eastAsia="zh-CN" w:bidi="zh-CN"/>
        </w:rPr>
        <w:t>了解、评价和测试与资产减值相关的关键内部控制设计和运行的有效性，通过设计并执行有针对性的审计程序，综合判断境外资产的真实性、是否存在减值迹象，检查减值准备计提的合理性和准确性等</w:t>
      </w:r>
      <w:r>
        <w:rPr>
          <w:rFonts w:hint="eastAsia" w:ascii="仿宋" w:hAnsi="仿宋" w:eastAsia="仿宋" w:cs="仿宋"/>
          <w:b w:val="0"/>
          <w:bCs w:val="0"/>
          <w:color w:val="000000"/>
          <w:kern w:val="0"/>
          <w:sz w:val="32"/>
          <w:szCs w:val="32"/>
          <w:highlight w:val="none"/>
          <w:lang w:val="en-US" w:eastAsia="zh-CN" w:bidi="ar"/>
        </w:rPr>
        <w:t>。</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1"/>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小结</w:t>
      </w:r>
    </w:p>
    <w:p>
      <w:pPr>
        <w:keepNext w:val="0"/>
        <w:keepLines w:val="0"/>
        <w:pageBreakBefore w:val="0"/>
        <w:widowControl w:val="0"/>
        <w:suppressLineNumbers w:val="0"/>
        <w:kinsoku/>
        <w:wordWrap/>
        <w:overflowPunct/>
        <w:topLinePunct/>
        <w:autoSpaceDE w:val="0"/>
        <w:autoSpaceDN/>
        <w:bidi w:val="0"/>
        <w:adjustRightInd w:val="0"/>
        <w:snapToGrid w:val="0"/>
        <w:spacing w:before="0" w:beforeLines="0" w:beforeAutospacing="0" w:after="0" w:afterLines="0" w:afterAutospacing="0" w:line="560" w:lineRule="exact"/>
        <w:ind w:left="0" w:right="0" w:firstLine="640" w:firstLineChars="200"/>
        <w:jc w:val="both"/>
        <w:textAlignment w:val="auto"/>
        <w:outlineLvl w:val="9"/>
        <w:rPr>
          <w:rFonts w:hint="eastAsia" w:ascii="仿宋" w:hAnsi="仿宋" w:eastAsia="仿宋"/>
          <w:sz w:val="32"/>
          <w:szCs w:val="32"/>
          <w:highlight w:val="none"/>
        </w:rPr>
      </w:pPr>
      <w:r>
        <w:rPr>
          <w:rFonts w:hint="eastAsia" w:ascii="仿宋" w:hAnsi="仿宋" w:eastAsia="仿宋"/>
          <w:sz w:val="32"/>
          <w:szCs w:val="32"/>
          <w:highlight w:val="none"/>
        </w:rPr>
        <w:t>近年来，财政部、证监会和中注协相继出台规定，专门就境外业务审计提出加大关注力度、提高胜任能力、强化集团审计</w:t>
      </w:r>
      <w:r>
        <w:rPr>
          <w:rFonts w:hint="eastAsia" w:ascii="仿宋" w:hAnsi="仿宋" w:eastAsia="仿宋"/>
          <w:sz w:val="32"/>
          <w:szCs w:val="32"/>
          <w:highlight w:val="none"/>
          <w:lang w:eastAsia="zh-CN"/>
        </w:rPr>
        <w:t>能力</w:t>
      </w:r>
      <w:r>
        <w:rPr>
          <w:rFonts w:hint="eastAsia" w:ascii="仿宋" w:hAnsi="仿宋" w:eastAsia="仿宋"/>
          <w:sz w:val="32"/>
          <w:szCs w:val="32"/>
          <w:highlight w:val="none"/>
        </w:rPr>
        <w:t>等更为具体的要求。其中，财政部发布《关于加大审计重点领域关注力度 控制审计风险 进一步有效识别财务舞弊的通知》（财会〔2022〕28号）等规定，要求加大对境外业务等财务舞弊高发领域的审计力度；证监会发布《监管规则适用指引——发行类第5号》《监管规则适用指引——审计类第2号》等规定，明确IPO审计中申报会计师需核查境外销售第三方回款的合理性或合规性，同时要求</w:t>
      </w:r>
      <w:r>
        <w:rPr>
          <w:rFonts w:hint="eastAsia" w:ascii="仿宋" w:hAnsi="仿宋" w:eastAsia="仿宋"/>
          <w:sz w:val="32"/>
          <w:szCs w:val="32"/>
          <w:highlight w:val="none"/>
          <w:lang w:eastAsia="zh-CN"/>
        </w:rPr>
        <w:t>相关</w:t>
      </w:r>
      <w:r>
        <w:rPr>
          <w:rFonts w:hint="eastAsia" w:ascii="仿宋" w:hAnsi="仿宋" w:eastAsia="仿宋"/>
          <w:sz w:val="32"/>
          <w:szCs w:val="32"/>
          <w:highlight w:val="none"/>
        </w:rPr>
        <w:t>注册会计师应当具备执行境外业务的胜任能力；中注协修订了集团审计相关审计准则，在强化集团审计中质量管理要求、强化集团项目组和组成部分会计师间沟通协作、在集团审计中保持职业怀疑的重要性、在集团审计中实施风险评估和应对、集团审计中对重要性概念的应用等方面作出进一步要求。</w:t>
      </w:r>
    </w:p>
    <w:p>
      <w:pPr>
        <w:keepNext w:val="0"/>
        <w:keepLines w:val="0"/>
        <w:pageBreakBefore w:val="0"/>
        <w:widowControl w:val="0"/>
        <w:suppressLineNumbers w:val="0"/>
        <w:kinsoku/>
        <w:wordWrap/>
        <w:overflowPunct/>
        <w:topLinePunct/>
        <w:autoSpaceDE w:val="0"/>
        <w:autoSpaceDN/>
        <w:bidi w:val="0"/>
        <w:adjustRightInd w:val="0"/>
        <w:snapToGrid w:val="0"/>
        <w:spacing w:before="0" w:beforeLines="0" w:beforeAutospacing="0" w:after="0" w:afterLines="0" w:afterAutospacing="0" w:line="560" w:lineRule="exact"/>
        <w:ind w:left="0" w:right="0" w:firstLine="640" w:firstLineChars="200"/>
        <w:jc w:val="both"/>
        <w:textAlignment w:val="auto"/>
        <w:outlineLvl w:val="9"/>
        <w:rPr>
          <w:rFonts w:ascii="Times New Roman" w:hAnsi="Times New Roman" w:eastAsia="楷体" w:cs="Times New Roman"/>
          <w:color w:val="000000"/>
          <w:sz w:val="32"/>
          <w:szCs w:val="32"/>
          <w:highlight w:val="none"/>
        </w:rPr>
      </w:pPr>
      <w:r>
        <w:rPr>
          <w:rFonts w:hint="eastAsia" w:ascii="仿宋" w:hAnsi="仿宋" w:eastAsia="仿宋"/>
          <w:sz w:val="32"/>
          <w:szCs w:val="32"/>
          <w:highlight w:val="none"/>
        </w:rPr>
        <w:t>综上，在执行境外业务审计时，注册会计师应当评价自身是否具备必需的胜任能力，审慎评估被审计单位是否存在虚构境外</w:t>
      </w:r>
      <w:r>
        <w:rPr>
          <w:rFonts w:hint="eastAsia" w:ascii="仿宋" w:hAnsi="仿宋" w:eastAsia="仿宋"/>
          <w:sz w:val="32"/>
          <w:szCs w:val="32"/>
          <w:highlight w:val="none"/>
          <w:lang w:eastAsia="zh-CN"/>
        </w:rPr>
        <w:t>业务</w:t>
      </w:r>
      <w:r>
        <w:rPr>
          <w:rFonts w:hint="eastAsia" w:ascii="仿宋" w:hAnsi="仿宋" w:eastAsia="仿宋"/>
          <w:sz w:val="32"/>
          <w:szCs w:val="32"/>
          <w:highlight w:val="none"/>
        </w:rPr>
        <w:t>、虚构境外收入、利用境外业务虚增资产等相关舞弊风险，在执行集团审计时加强与境外组成部分注册会计师的沟通，</w:t>
      </w:r>
      <w:r>
        <w:rPr>
          <w:rFonts w:hint="eastAsia" w:ascii="仿宋" w:hAnsi="仿宋" w:eastAsia="仿宋"/>
          <w:sz w:val="32"/>
          <w:szCs w:val="32"/>
          <w:highlight w:val="none"/>
          <w:lang w:eastAsia="zh-CN"/>
        </w:rPr>
        <w:t>审慎</w:t>
      </w:r>
      <w:r>
        <w:rPr>
          <w:rFonts w:hint="eastAsia" w:ascii="仿宋" w:hAnsi="仿宋" w:eastAsia="仿宋"/>
          <w:sz w:val="32"/>
          <w:szCs w:val="32"/>
          <w:highlight w:val="none"/>
        </w:rPr>
        <w:t>评价境外组成部分注册会计师的客观性和专业胜任能力，</w:t>
      </w:r>
      <w:r>
        <w:rPr>
          <w:rFonts w:hint="eastAsia" w:ascii="仿宋" w:hAnsi="仿宋" w:eastAsia="仿宋"/>
          <w:sz w:val="32"/>
          <w:szCs w:val="32"/>
          <w:highlight w:val="none"/>
          <w:lang w:eastAsia="zh-CN"/>
        </w:rPr>
        <w:t>充分</w:t>
      </w:r>
      <w:r>
        <w:rPr>
          <w:rFonts w:hint="eastAsia" w:ascii="仿宋" w:hAnsi="仿宋" w:eastAsia="仿宋"/>
          <w:sz w:val="32"/>
          <w:szCs w:val="32"/>
          <w:highlight w:val="none"/>
        </w:rPr>
        <w:t>复核并评价其审计工作的充分性和适当性。</w:t>
      </w:r>
    </w:p>
    <w:bookmarkEnd w:id="0"/>
    <w:bookmarkEnd w:id="1"/>
    <w:bookmarkEnd w:id="2"/>
    <w:bookmarkEnd w:id="3"/>
    <w:bookmarkEnd w:id="4"/>
    <w:bookmarkEnd w:id="5"/>
    <w:p>
      <w:pPr>
        <w:keepNext w:val="0"/>
        <w:keepLines w:val="0"/>
        <w:pageBreakBefore w:val="0"/>
        <w:kinsoku/>
        <w:wordWrap/>
        <w:overflowPunct/>
        <w:topLinePunct/>
        <w:autoSpaceDE/>
        <w:autoSpaceDN/>
        <w:bidi w:val="0"/>
        <w:adjustRightInd w:val="0"/>
        <w:snapToGrid w:val="0"/>
        <w:spacing w:line="560" w:lineRule="exact"/>
        <w:ind w:firstLine="640" w:firstLineChars="200"/>
        <w:outlineLvl w:val="0"/>
        <w:rPr>
          <w:rFonts w:ascii="黑体" w:hAnsi="黑体" w:eastAsia="黑体" w:cs="Times New Roman"/>
          <w:color w:val="000000"/>
          <w:sz w:val="32"/>
          <w:szCs w:val="32"/>
          <w:highlight w:val="none"/>
        </w:rPr>
      </w:pPr>
      <w:r>
        <w:rPr>
          <w:rFonts w:hint="eastAsia" w:ascii="黑体" w:hAnsi="黑体" w:eastAsia="黑体" w:cs="Times New Roman"/>
          <w:color w:val="000000"/>
          <w:sz w:val="32"/>
          <w:szCs w:val="32"/>
          <w:highlight w:val="none"/>
          <w:lang w:eastAsia="zh-CN"/>
        </w:rPr>
        <w:t>三</w:t>
      </w:r>
      <w:r>
        <w:rPr>
          <w:rFonts w:hint="eastAsia" w:ascii="黑体" w:hAnsi="黑体" w:eastAsia="黑体" w:cs="Times New Roman"/>
          <w:color w:val="000000"/>
          <w:sz w:val="32"/>
          <w:szCs w:val="32"/>
          <w:highlight w:val="none"/>
        </w:rPr>
        <w:t>、典型</w:t>
      </w:r>
      <w:r>
        <w:rPr>
          <w:rFonts w:hint="eastAsia" w:ascii="黑体" w:hAnsi="黑体" w:eastAsia="黑体" w:cs="Times New Roman"/>
          <w:color w:val="000000"/>
          <w:sz w:val="32"/>
          <w:szCs w:val="32"/>
          <w:highlight w:val="none"/>
          <w:lang w:eastAsia="zh-CN"/>
        </w:rPr>
        <w:t>会计</w:t>
      </w:r>
      <w:r>
        <w:rPr>
          <w:rFonts w:hint="eastAsia" w:ascii="黑体" w:hAnsi="黑体" w:eastAsia="黑体" w:cs="Times New Roman"/>
          <w:color w:val="000000"/>
          <w:sz w:val="32"/>
          <w:szCs w:val="32"/>
          <w:highlight w:val="none"/>
        </w:rPr>
        <w:t>案例研究</w:t>
      </w:r>
    </w:p>
    <w:p>
      <w:pPr>
        <w:spacing w:line="560" w:lineRule="exact"/>
        <w:ind w:firstLine="640" w:firstLineChars="200"/>
        <w:outlineLvl w:val="1"/>
        <w:rPr>
          <w:rFonts w:hint="eastAsia" w:ascii="楷体" w:hAnsi="楷体" w:eastAsia="楷体" w:cs="楷体"/>
          <w:sz w:val="32"/>
          <w:szCs w:val="32"/>
          <w:highlight w:val="none"/>
        </w:rPr>
      </w:pPr>
      <w:r>
        <w:rPr>
          <w:rFonts w:hint="eastAsia" w:ascii="楷体" w:hAnsi="楷体" w:eastAsia="楷体" w:cs="楷体"/>
          <w:sz w:val="32"/>
          <w:szCs w:val="32"/>
          <w:highlight w:val="none"/>
        </w:rPr>
        <w:t>（一）收入相关问题</w:t>
      </w:r>
    </w:p>
    <w:p>
      <w:pPr>
        <w:spacing w:line="560" w:lineRule="exact"/>
        <w:ind w:firstLine="640" w:firstLineChars="200"/>
        <w:outlineLvl w:val="1"/>
        <w:rPr>
          <w:rFonts w:hint="eastAsia" w:ascii="楷体" w:hAnsi="楷体" w:eastAsia="楷体" w:cs="楷体"/>
          <w:sz w:val="32"/>
          <w:szCs w:val="32"/>
          <w:highlight w:val="none"/>
        </w:rPr>
      </w:pPr>
      <w:r>
        <w:rPr>
          <w:rFonts w:hint="eastAsia" w:ascii="楷体" w:hAnsi="楷体" w:eastAsia="楷体" w:cs="楷体"/>
          <w:sz w:val="32"/>
          <w:szCs w:val="32"/>
          <w:highlight w:val="none"/>
        </w:rPr>
        <w:t>案例一：关于客户延迟验收产品</w:t>
      </w:r>
      <w:r>
        <w:rPr>
          <w:rFonts w:hint="eastAsia" w:ascii="楷体" w:hAnsi="楷体" w:eastAsia="楷体" w:cs="Times New Roman"/>
          <w:color w:val="000000"/>
          <w:sz w:val="32"/>
          <w:szCs w:val="32"/>
          <w:highlight w:val="none"/>
        </w:rPr>
        <w:t>的相关问题</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1．案例及相关问题</w:t>
      </w:r>
    </w:p>
    <w:p>
      <w:pPr>
        <w:widowControl w:val="0"/>
        <w:spacing w:line="560" w:lineRule="exact"/>
        <w:ind w:firstLine="640" w:firstLineChars="200"/>
        <w:jc w:val="both"/>
        <w:rPr>
          <w:rFonts w:hint="eastAsia" w:ascii="仿宋" w:hAnsi="仿宋" w:eastAsia="仿宋" w:cstheme="minorBidi"/>
          <w:kern w:val="2"/>
          <w:sz w:val="32"/>
          <w:szCs w:val="24"/>
          <w:highlight w:val="none"/>
          <w:lang w:val="en-US" w:eastAsia="zh-CN" w:bidi="ar-SA"/>
        </w:rPr>
      </w:pPr>
      <w:r>
        <w:rPr>
          <w:rFonts w:hint="eastAsia" w:ascii="仿宋" w:hAnsi="仿宋" w:eastAsia="仿宋" w:cs="仿宋"/>
          <w:kern w:val="2"/>
          <w:sz w:val="32"/>
          <w:szCs w:val="32"/>
          <w:highlight w:val="none"/>
          <w:lang w:val="en-US" w:eastAsia="zh-CN" w:bidi="ar-SA"/>
        </w:rPr>
        <w:t>A公司为一家生产定制化设备的制造企业，20X4年A公司对设备类存货计提跌价准备8000万元，主要涉及已发出且长期未验收的设备。A公司的销售模式为：与客户签订定制化产品销售合同，待客户支付60%货款后，将设备发至客户仓库进行预验收，随后客户进行试运行，客户终验后支付剩余40%货款。部分客户为延迟支付款项而在试运行结束后延迟终验，相关设备已处于正常使用状态。A公司就存放在该部分客户现场的已发出设备按照库龄法计提存货跌价准备，</w:t>
      </w:r>
      <w:r>
        <w:rPr>
          <w:rFonts w:hint="eastAsia" w:ascii="仿宋" w:hAnsi="仿宋" w:eastAsia="仿宋" w:cs="仿宋"/>
          <w:bCs/>
          <w:kern w:val="2"/>
          <w:sz w:val="32"/>
          <w:szCs w:val="32"/>
          <w:highlight w:val="none"/>
          <w:lang w:val="en-US" w:eastAsia="zh-CN" w:bidi="ar-SA"/>
        </w:rPr>
        <w:t>具体为库龄1年内销售金额可回收率为100%，1-2年可回收率为90%，2-3年可回收率为60%，3年以上可回收率为30%</w:t>
      </w:r>
      <w:r>
        <w:rPr>
          <w:rFonts w:hint="eastAsia" w:ascii="仿宋" w:hAnsi="仿宋" w:eastAsia="仿宋" w:cs="仿宋"/>
          <w:kern w:val="2"/>
          <w:sz w:val="32"/>
          <w:szCs w:val="32"/>
          <w:highlight w:val="none"/>
          <w:lang w:val="en-US" w:eastAsia="zh-CN" w:bidi="ar-SA"/>
        </w:rPr>
        <w:t>。</w:t>
      </w:r>
    </w:p>
    <w:p>
      <w:pPr>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问题：A公司对已发出但长期未验收的设备按库龄法计提存货跌价准备，相关会计处理是否正确?</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2．参考意见</w:t>
      </w:r>
    </w:p>
    <w:p>
      <w:pPr>
        <w:spacing w:line="560" w:lineRule="exact"/>
        <w:ind w:firstLine="640" w:firstLineChars="200"/>
        <w:rPr>
          <w:rFonts w:hint="eastAsia" w:ascii="仿宋" w:hAnsi="仿宋" w:eastAsia="仿宋"/>
          <w:sz w:val="32"/>
          <w:szCs w:val="20"/>
          <w:highlight w:val="none"/>
        </w:rPr>
      </w:pPr>
      <w:r>
        <w:rPr>
          <w:rFonts w:hint="eastAsia" w:ascii="仿宋" w:hAnsi="仿宋" w:eastAsia="仿宋"/>
          <w:sz w:val="32"/>
          <w:szCs w:val="20"/>
          <w:highlight w:val="none"/>
        </w:rPr>
        <w:t>根据企业会计准则，</w:t>
      </w:r>
      <w:r>
        <w:rPr>
          <w:rFonts w:hint="eastAsia" w:ascii="仿宋" w:hAnsi="仿宋" w:eastAsia="仿宋" w:cs="仿宋"/>
          <w:sz w:val="32"/>
          <w:szCs w:val="32"/>
          <w:highlight w:val="none"/>
        </w:rPr>
        <w:t>如果客户能够主导该商品的使用并从中获得几乎全部的经济利益，则表明客户已取得相关商品控制权，企业应当在此时确认收入。</w:t>
      </w:r>
    </w:p>
    <w:p>
      <w:pPr>
        <w:spacing w:line="560" w:lineRule="exact"/>
        <w:ind w:firstLine="640" w:firstLineChars="200"/>
        <w:rPr>
          <w:rFonts w:hint="eastAsia" w:ascii="仿宋" w:hAnsi="仿宋" w:eastAsia="仿宋"/>
          <w:sz w:val="32"/>
          <w:szCs w:val="20"/>
          <w:highlight w:val="none"/>
        </w:rPr>
      </w:pPr>
      <w:r>
        <w:rPr>
          <w:rFonts w:hint="eastAsia" w:ascii="仿宋" w:hAnsi="仿宋" w:eastAsia="仿宋"/>
          <w:sz w:val="32"/>
          <w:szCs w:val="20"/>
          <w:highlight w:val="none"/>
        </w:rPr>
        <w:t>本案例中，A公司因客户延迟</w:t>
      </w:r>
      <w:r>
        <w:rPr>
          <w:rFonts w:hint="eastAsia" w:ascii="仿宋" w:hAnsi="仿宋" w:eastAsia="仿宋" w:cs="仿宋"/>
          <w:bCs/>
          <w:kern w:val="0"/>
          <w:sz w:val="32"/>
          <w:szCs w:val="32"/>
          <w:highlight w:val="none"/>
        </w:rPr>
        <w:t>验收而对发出商品</w:t>
      </w:r>
      <w:r>
        <w:rPr>
          <w:rFonts w:hint="eastAsia" w:ascii="仿宋" w:hAnsi="仿宋" w:eastAsia="仿宋" w:cs="仿宋"/>
          <w:sz w:val="32"/>
          <w:szCs w:val="32"/>
          <w:highlight w:val="none"/>
        </w:rPr>
        <w:t>计提大额存货跌价准备，未考虑是否已将商品控制权转移给客户，相关商品是否已经满足收入确认条件。</w:t>
      </w:r>
      <w:r>
        <w:rPr>
          <w:rFonts w:ascii="仿宋" w:hAnsi="仿宋" w:eastAsia="仿宋" w:cs="仿宋"/>
          <w:sz w:val="32"/>
          <w:szCs w:val="32"/>
          <w:highlight w:val="none"/>
        </w:rPr>
        <w:t>此外，如果在资产负债表日商品控制权尚未转移至客户，由于商品系定制化设备，采用库龄法确定可变现净额可能并不恰当</w:t>
      </w:r>
      <w:r>
        <w:rPr>
          <w:rFonts w:hint="eastAsia" w:ascii="仿宋" w:hAnsi="仿宋" w:eastAsia="仿宋" w:cs="仿宋"/>
          <w:sz w:val="32"/>
          <w:szCs w:val="32"/>
          <w:highlight w:val="none"/>
        </w:rPr>
        <w:t>。</w:t>
      </w:r>
    </w:p>
    <w:p>
      <w:pPr>
        <w:spacing w:line="560" w:lineRule="exact"/>
        <w:ind w:firstLine="640" w:firstLineChars="200"/>
        <w:rPr>
          <w:rFonts w:hint="eastAsia" w:ascii="仿宋" w:hAnsi="仿宋" w:eastAsia="仿宋" w:cs="仿宋"/>
          <w:bCs/>
          <w:kern w:val="0"/>
          <w:sz w:val="32"/>
          <w:szCs w:val="32"/>
          <w:highlight w:val="none"/>
        </w:rPr>
      </w:pPr>
      <w:r>
        <w:rPr>
          <w:rFonts w:hint="eastAsia" w:ascii="仿宋" w:hAnsi="仿宋" w:eastAsia="仿宋" w:cs="仿宋"/>
          <w:sz w:val="32"/>
          <w:szCs w:val="32"/>
          <w:highlight w:val="none"/>
        </w:rPr>
        <w:t>如果客户已经完成试运行并已经开始正常使用相关设备，则很可能表明客户已经能够主导商品使用并从中获得几乎全部的经济利益，是否取得终验报告本身不构成收入确认的必要条件，公司应当根据收入准则确认商品销售收入。如果相关发出商品未满足收入确认条件，考虑到客户终验前可能需要对定制化设备进行修改，对于发出商品，公司应按照定制化合同约定价格减去完工时预计发生支出计算可变现净值，计提存货跌价准备，而非采用库龄法基于可收回率计提存货跌价准备。</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3．相关规则</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（1）《企业会计准则第14号——收入（2017）》</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第四条  企业应当在履行了合同中的履约义务，即在客户取得相关商品控制权时确认收入。</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取得相关商品控制权，是指能够主导该商品的使用并从中获得几乎全部的经济利益。</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第五条  当企业与客户之间的合同同时满足下列条件时，企业应当在客户取得相关商品控制权时确认收入：</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（一）合同各方已批准该合同并承诺将履行各自义务；</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（二）该合同明确了合同各方与所转让商品或提供劳务（以下简称“转让商品”）相关的权利和义务；</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（三）该合同有明确的与所转让商品相关的支付条款；</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（四）该合同具有商业实质，即履行该合同将改变企业未来现金流量的风险、时间分布或金额；</w:t>
      </w:r>
    </w:p>
    <w:p>
      <w:pPr>
        <w:tabs>
          <w:tab w:val="left" w:pos="1384"/>
        </w:tabs>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（五）企业因向客户转让商品而有权取得的对价很可能收回。</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在合同开始日即满足前款条件的合同，企业在后续期间无需对其进行重新评估，除非有迹象表明相关事实和情况发生重大变化。合同开始日通常是指合同生效日。</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第六条  在合同开始日不符合本准则第五条规定的合同，企业应当对其进行持续评估，并在其满足本准则第五条规定时按照该条的规定进行会计处理。</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对于不符合本准则第五条规定的合同，企业只有在不再负有向客户转让商品的剩余义务，且已向客户收取的对价无需退回时，才能将已收取的对价确认为收入；否则，应当将已收取的对价作为负债进行会计处理。没有商业实质的非货币性资产交换，不确认收入。</w:t>
      </w:r>
    </w:p>
    <w:p>
      <w:pPr>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第十三条 对于在某一时点履行的履约义务，企业应当在客户取得相关商品控制权时点确认收入。在判断客户是否已取得商品控制权时，企业应当考虑下列迹象：</w:t>
      </w:r>
    </w:p>
    <w:p>
      <w:pPr>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（一）企业就该商品享有现时收款权利，即客户就该商品负有现时付款义务。</w:t>
      </w:r>
    </w:p>
    <w:p>
      <w:pPr>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（二）企业已将该商品的法定所有权转移给客户，即客户已拥有该商品的法定所有权。</w:t>
      </w:r>
    </w:p>
    <w:p>
      <w:pPr>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（三）企业已将该商品实物转移给客户，即客户已实物占有该商品。</w:t>
      </w:r>
    </w:p>
    <w:p>
      <w:pPr>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（四）企业已将该商品所有权上的主要风险和报酬转移给客户，即客户已取得该商品所有权上的主要风险和报酬。</w:t>
      </w:r>
    </w:p>
    <w:p>
      <w:pPr>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（五）客户已接受该商品。</w:t>
      </w:r>
    </w:p>
    <w:p>
      <w:pPr>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（六）其他表明客户已取得商品控制权的迹象。</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（2）《企业会计准则第1号——存货（2006）》</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第十五条 资产负债表日，存货应当按照成本与可变现净值孰低计量。</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存货成本高于其可变现净值的，应当计提存货跌价准备，计入当期损益。</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可变现净值，是指在日常活动中，存货的估计售价减去至完工时估计将要发生的成本、估计的销售费用以及相关税费后的金额。</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第十六条 企业确定存货的可变现净值，应当以取得的确凿证据为基础，并且考虑持有存货的目的、资产负债表日后事项的影响等因素。</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为生产而持有的材料等，用其生产的产成品的可变现净值高于成本的，该材料仍然应当按照成本计量；材料价格的下降表明产成品的可变现净值低于成本的，该材料应当按照可变现净值计量。</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第十七条 为执行销售合同或者劳务合同而持有的存货，其可变现净值应当以合同价格为基础计算。</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企业持有存货的数量多于销售合同订购数量的，超出部分的存货的可变现净值应当以一般销售价格为基础计算。</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第十八条 企业通常应当按照单个存货项目计提存货跌价准备。</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对于数量繁多、单价较低的存货，可以按照存货类别计提存货跌价准备。</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与在同一地区生产和销售的产品系列相关、具有相同或类似最终用途或目的，且难以与其他项目分开计量的存货，可以合并计提存货跌价准备。</w:t>
      </w:r>
    </w:p>
    <w:p>
      <w:pPr>
        <w:spacing w:line="560" w:lineRule="exact"/>
        <w:ind w:firstLine="640" w:firstLineChars="200"/>
        <w:outlineLvl w:val="1"/>
        <w:rPr>
          <w:rFonts w:hint="eastAsia" w:ascii="楷体" w:hAnsi="楷体" w:eastAsia="楷体" w:cs="楷体"/>
          <w:sz w:val="32"/>
          <w:szCs w:val="32"/>
          <w:highlight w:val="none"/>
        </w:rPr>
      </w:pPr>
      <w:r>
        <w:rPr>
          <w:rFonts w:hint="eastAsia" w:ascii="楷体" w:hAnsi="楷体" w:eastAsia="楷体" w:cs="楷体"/>
          <w:sz w:val="32"/>
          <w:szCs w:val="32"/>
          <w:highlight w:val="none"/>
        </w:rPr>
        <w:t>案例二：关于质保服务</w:t>
      </w:r>
      <w:r>
        <w:rPr>
          <w:rFonts w:hint="eastAsia" w:ascii="楷体" w:hAnsi="楷体" w:eastAsia="楷体" w:cs="Times New Roman"/>
          <w:color w:val="000000"/>
          <w:sz w:val="32"/>
          <w:szCs w:val="32"/>
          <w:highlight w:val="none"/>
        </w:rPr>
        <w:t>的相关问题</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1．案例及相关问题</w:t>
      </w:r>
    </w:p>
    <w:p>
      <w:pPr>
        <w:widowControl w:val="0"/>
        <w:spacing w:line="560" w:lineRule="exact"/>
        <w:ind w:firstLine="640" w:firstLineChars="200"/>
        <w:jc w:val="both"/>
        <w:rPr>
          <w:rFonts w:hint="eastAsia" w:ascii="仿宋" w:hAnsi="仿宋" w:eastAsia="仿宋" w:cstheme="minorBidi"/>
          <w:kern w:val="2"/>
          <w:sz w:val="32"/>
          <w:szCs w:val="24"/>
          <w:highlight w:val="none"/>
          <w:lang w:val="en-US" w:eastAsia="zh-CN" w:bidi="ar-SA"/>
        </w:rPr>
      </w:pPr>
      <w:r>
        <w:rPr>
          <w:rFonts w:hint="eastAsia" w:ascii="仿宋" w:hAnsi="仿宋" w:eastAsia="仿宋" w:cs="仿宋"/>
          <w:kern w:val="2"/>
          <w:sz w:val="32"/>
          <w:szCs w:val="32"/>
          <w:highlight w:val="none"/>
          <w:lang w:val="en-US" w:eastAsia="zh-CN" w:bidi="ar-SA"/>
        </w:rPr>
        <w:t>B公司为设备</w:t>
      </w:r>
      <w:r>
        <w:rPr>
          <w:rFonts w:ascii="仿宋" w:hAnsi="仿宋" w:eastAsia="仿宋" w:cs="仿宋"/>
          <w:kern w:val="2"/>
          <w:sz w:val="32"/>
          <w:szCs w:val="32"/>
          <w:highlight w:val="none"/>
          <w:lang w:val="en-US" w:eastAsia="zh-CN" w:bidi="ar-SA"/>
        </w:rPr>
        <w:t>制造</w:t>
      </w:r>
      <w:r>
        <w:rPr>
          <w:rFonts w:hint="eastAsia" w:ascii="仿宋" w:hAnsi="仿宋" w:eastAsia="仿宋" w:cs="仿宋"/>
          <w:kern w:val="2"/>
          <w:sz w:val="32"/>
          <w:szCs w:val="32"/>
          <w:highlight w:val="none"/>
          <w:lang w:val="en-US" w:eastAsia="zh-CN" w:bidi="ar-SA"/>
        </w:rPr>
        <w:t>企业，其设备销售合同约定，验收后一年内若设备存在质量问题，B公司提供免费质保服务，在上述合同质保期内，B公司还就设备使用提供7</w:t>
      </w:r>
      <w:r>
        <w:rPr>
          <w:rFonts w:hint="default" w:ascii="Arial" w:hAnsi="Arial" w:eastAsia="仿宋" w:cs="Arial"/>
          <w:kern w:val="2"/>
          <w:sz w:val="32"/>
          <w:szCs w:val="32"/>
          <w:highlight w:val="none"/>
          <w:lang w:val="en-US" w:eastAsia="zh-CN" w:bidi="ar-SA"/>
        </w:rPr>
        <w:t>×</w:t>
      </w:r>
      <w:r>
        <w:rPr>
          <w:rFonts w:hint="eastAsia" w:ascii="仿宋" w:hAnsi="仿宋" w:eastAsia="仿宋" w:cs="仿宋"/>
          <w:kern w:val="2"/>
          <w:sz w:val="32"/>
          <w:szCs w:val="32"/>
          <w:highlight w:val="none"/>
          <w:lang w:val="en-US" w:eastAsia="zh-CN" w:bidi="ar-SA"/>
        </w:rPr>
        <w:t>24小时技术支持服务，并承诺响应时间不超过10分钟，该项服务在质保期内免费，质保期结束后开始收费。</w:t>
      </w:r>
      <w:r>
        <w:rPr>
          <w:rFonts w:ascii="仿宋" w:hAnsi="仿宋" w:eastAsia="仿宋" w:cs="仿宋"/>
          <w:kern w:val="2"/>
          <w:sz w:val="32"/>
          <w:szCs w:val="32"/>
          <w:highlight w:val="none"/>
          <w:lang w:val="en-US" w:eastAsia="zh-CN" w:bidi="ar-SA"/>
        </w:rPr>
        <w:t>B公司</w:t>
      </w:r>
      <w:r>
        <w:rPr>
          <w:rFonts w:hint="eastAsia" w:ascii="仿宋" w:hAnsi="仿宋" w:eastAsia="仿宋" w:cs="仿宋"/>
          <w:kern w:val="2"/>
          <w:sz w:val="32"/>
          <w:szCs w:val="32"/>
          <w:highlight w:val="none"/>
          <w:lang w:val="en-US" w:eastAsia="zh-CN" w:bidi="ar-SA"/>
        </w:rPr>
        <w:t>按合同总价全额确认设备销售收入，将质保期内发生的两项质保支出计入销售费用。</w:t>
      </w:r>
    </w:p>
    <w:p>
      <w:pPr>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问题：</w:t>
      </w:r>
      <w:r>
        <w:rPr>
          <w:rFonts w:ascii="楷体" w:hAnsi="楷体" w:eastAsia="楷体" w:cs="楷体"/>
          <w:sz w:val="32"/>
          <w:szCs w:val="32"/>
          <w:highlight w:val="none"/>
        </w:rPr>
        <w:t>B公司对于</w:t>
      </w:r>
      <w:r>
        <w:rPr>
          <w:rFonts w:hint="eastAsia" w:ascii="楷体" w:hAnsi="楷体" w:eastAsia="楷体" w:cs="楷体"/>
          <w:sz w:val="32"/>
          <w:szCs w:val="32"/>
          <w:highlight w:val="none"/>
          <w:lang w:eastAsia="zh-CN"/>
        </w:rPr>
        <w:t>上述两种质保</w:t>
      </w:r>
      <w:r>
        <w:rPr>
          <w:rFonts w:ascii="楷体" w:hAnsi="楷体" w:eastAsia="楷体" w:cs="楷体"/>
          <w:sz w:val="32"/>
          <w:szCs w:val="32"/>
          <w:highlight w:val="none"/>
        </w:rPr>
        <w:t>服务的相关会计处理是否正确</w:t>
      </w:r>
      <w:r>
        <w:rPr>
          <w:rFonts w:hint="eastAsia" w:ascii="楷体" w:hAnsi="楷体" w:eastAsia="楷体" w:cs="楷体"/>
          <w:sz w:val="32"/>
          <w:szCs w:val="32"/>
          <w:highlight w:val="none"/>
        </w:rPr>
        <w:t>?</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2．参考意见</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根据企业会计准则，对于附有质量保证条款的销售，企业应当对其提供的质量保证性质进行分析，作为单项履约义务的质量保证应当按照收入准则规定确认收入。</w:t>
      </w:r>
    </w:p>
    <w:p>
      <w:pPr>
        <w:spacing w:line="560" w:lineRule="exact"/>
        <w:ind w:firstLine="640" w:firstLineChars="200"/>
        <w:rPr>
          <w:rFonts w:hint="eastAsia" w:ascii="仿宋" w:hAnsi="仿宋" w:eastAsia="仿宋"/>
          <w:sz w:val="32"/>
          <w:szCs w:val="20"/>
          <w:highlight w:val="none"/>
        </w:rPr>
      </w:pPr>
      <w:r>
        <w:rPr>
          <w:rFonts w:hint="eastAsia" w:ascii="仿宋" w:hAnsi="仿宋" w:eastAsia="仿宋"/>
          <w:sz w:val="32"/>
          <w:szCs w:val="20"/>
          <w:highlight w:val="none"/>
        </w:rPr>
        <w:t>本案例包含了两种质保服务，第一种是</w:t>
      </w:r>
      <w:r>
        <w:rPr>
          <w:rFonts w:ascii="仿宋" w:hAnsi="仿宋" w:eastAsia="仿宋"/>
          <w:sz w:val="32"/>
          <w:szCs w:val="20"/>
          <w:highlight w:val="none"/>
        </w:rPr>
        <w:t>B公司</w:t>
      </w:r>
      <w:r>
        <w:rPr>
          <w:rFonts w:hint="eastAsia" w:ascii="仿宋" w:hAnsi="仿宋" w:eastAsia="仿宋"/>
          <w:sz w:val="32"/>
          <w:szCs w:val="20"/>
          <w:highlight w:val="none"/>
        </w:rPr>
        <w:t>在设备验收后</w:t>
      </w:r>
      <w:r>
        <w:rPr>
          <w:rFonts w:ascii="仿宋" w:hAnsi="仿宋" w:eastAsia="仿宋"/>
          <w:sz w:val="32"/>
          <w:szCs w:val="20"/>
          <w:highlight w:val="none"/>
        </w:rPr>
        <w:t>一年</w:t>
      </w:r>
      <w:r>
        <w:rPr>
          <w:rFonts w:hint="eastAsia" w:ascii="仿宋" w:hAnsi="仿宋" w:eastAsia="仿宋"/>
          <w:sz w:val="32"/>
          <w:szCs w:val="20"/>
          <w:highlight w:val="none"/>
        </w:rPr>
        <w:t>内提供</w:t>
      </w:r>
      <w:r>
        <w:rPr>
          <w:rFonts w:ascii="仿宋" w:hAnsi="仿宋" w:eastAsia="仿宋"/>
          <w:sz w:val="32"/>
          <w:szCs w:val="20"/>
          <w:highlight w:val="none"/>
        </w:rPr>
        <w:t>的质保，</w:t>
      </w:r>
      <w:r>
        <w:rPr>
          <w:rFonts w:hint="eastAsia" w:ascii="仿宋" w:hAnsi="仿宋" w:eastAsia="仿宋"/>
          <w:sz w:val="32"/>
          <w:szCs w:val="20"/>
          <w:highlight w:val="none"/>
        </w:rPr>
        <w:t>旨在保证所销售产品符合既定的质量标准，</w:t>
      </w:r>
      <w:r>
        <w:rPr>
          <w:rFonts w:ascii="仿宋" w:hAnsi="仿宋" w:eastAsia="仿宋"/>
          <w:sz w:val="32"/>
          <w:szCs w:val="20"/>
          <w:highlight w:val="none"/>
        </w:rPr>
        <w:t>属于会计准则规定的保证类质保，B公司</w:t>
      </w:r>
      <w:r>
        <w:rPr>
          <w:rFonts w:hint="eastAsia" w:ascii="仿宋" w:hAnsi="仿宋" w:eastAsia="仿宋" w:cs="仿宋"/>
          <w:sz w:val="32"/>
          <w:szCs w:val="32"/>
          <w:highlight w:val="none"/>
        </w:rPr>
        <w:t>应按照或有事项准则，结合以往年度对于同类客户的质保情况，合理恰当预估质保支出并计提预计负债，计入设备销售成本中。</w:t>
      </w:r>
    </w:p>
    <w:p>
      <w:pPr>
        <w:widowControl w:val="0"/>
        <w:spacing w:line="560" w:lineRule="exact"/>
        <w:ind w:firstLine="640" w:firstLineChars="200"/>
        <w:jc w:val="both"/>
        <w:rPr>
          <w:rFonts w:hint="eastAsia" w:ascii="仿宋" w:hAnsi="仿宋" w:eastAsia="仿宋" w:cs="仿宋"/>
          <w:kern w:val="2"/>
          <w:sz w:val="32"/>
          <w:szCs w:val="32"/>
          <w:highlight w:val="none"/>
          <w:lang w:val="en-US" w:eastAsia="zh-CN" w:bidi="ar-SA"/>
        </w:rPr>
      </w:pPr>
      <w:r>
        <w:rPr>
          <w:rFonts w:hint="eastAsia" w:ascii="仿宋" w:hAnsi="仿宋" w:eastAsia="仿宋" w:cstheme="minorBidi"/>
          <w:kern w:val="2"/>
          <w:sz w:val="32"/>
          <w:szCs w:val="20"/>
          <w:highlight w:val="none"/>
          <w:lang w:val="en-US" w:eastAsia="zh-CN" w:bidi="ar-SA"/>
        </w:rPr>
        <w:t>第二种是7</w:t>
      </w:r>
      <w:r>
        <w:rPr>
          <w:rFonts w:hint="default" w:ascii="Arial" w:hAnsi="Arial" w:eastAsia="仿宋" w:cs="Arial"/>
          <w:kern w:val="2"/>
          <w:sz w:val="32"/>
          <w:szCs w:val="32"/>
          <w:highlight w:val="none"/>
          <w:lang w:val="en-US" w:eastAsia="zh-CN" w:bidi="ar-SA"/>
        </w:rPr>
        <w:t>×</w:t>
      </w:r>
      <w:r>
        <w:rPr>
          <w:rFonts w:hint="eastAsia" w:ascii="仿宋" w:hAnsi="仿宋" w:eastAsia="仿宋" w:cstheme="minorBidi"/>
          <w:kern w:val="2"/>
          <w:sz w:val="32"/>
          <w:szCs w:val="20"/>
          <w:highlight w:val="none"/>
          <w:lang w:val="en-US" w:eastAsia="zh-CN" w:bidi="ar-SA"/>
        </w:rPr>
        <w:t>24小时技术支持服务，只要客户有技术支持需求，B公司就要在10分钟内响应，质保期内免费，质保期后收费。由此可见，该项服务属于在向客户保证所销售商品符合既定标准之外提供的单独服务，</w:t>
      </w:r>
      <w:r>
        <w:rPr>
          <w:rFonts w:ascii="仿宋" w:hAnsi="仿宋" w:eastAsia="仿宋" w:cstheme="minorBidi"/>
          <w:kern w:val="2"/>
          <w:sz w:val="32"/>
          <w:szCs w:val="20"/>
          <w:highlight w:val="none"/>
          <w:lang w:val="en-US" w:eastAsia="zh-CN" w:bidi="ar-SA"/>
        </w:rPr>
        <w:t>构成</w:t>
      </w:r>
      <w:r>
        <w:rPr>
          <w:rFonts w:hint="eastAsia" w:ascii="仿宋" w:hAnsi="仿宋" w:eastAsia="仿宋" w:cstheme="minorBidi"/>
          <w:kern w:val="2"/>
          <w:sz w:val="32"/>
          <w:szCs w:val="20"/>
          <w:highlight w:val="none"/>
          <w:lang w:val="en-US" w:eastAsia="zh-CN" w:bidi="ar-SA"/>
        </w:rPr>
        <w:t>会计准则规定的</w:t>
      </w:r>
      <w:r>
        <w:rPr>
          <w:rFonts w:ascii="仿宋" w:hAnsi="仿宋" w:eastAsia="仿宋" w:cstheme="minorBidi"/>
          <w:kern w:val="2"/>
          <w:sz w:val="32"/>
          <w:szCs w:val="20"/>
          <w:highlight w:val="none"/>
          <w:lang w:val="en-US" w:eastAsia="zh-CN" w:bidi="ar-SA"/>
        </w:rPr>
        <w:t>服务</w:t>
      </w:r>
      <w:r>
        <w:rPr>
          <w:rFonts w:hint="eastAsia" w:ascii="仿宋" w:hAnsi="仿宋" w:eastAsia="仿宋" w:cstheme="minorBidi"/>
          <w:kern w:val="2"/>
          <w:sz w:val="32"/>
          <w:szCs w:val="20"/>
          <w:highlight w:val="none"/>
          <w:lang w:val="en-US" w:eastAsia="zh-CN" w:bidi="ar-SA"/>
        </w:rPr>
        <w:t>类质保，虽然在质保期内未单独销售，但与设备销售可明确区分，B公司应</w:t>
      </w:r>
      <w:r>
        <w:rPr>
          <w:rFonts w:hint="eastAsia" w:ascii="仿宋" w:hAnsi="仿宋" w:eastAsia="仿宋" w:cs="仿宋"/>
          <w:kern w:val="2"/>
          <w:sz w:val="32"/>
          <w:szCs w:val="32"/>
          <w:highlight w:val="none"/>
          <w:lang w:val="en-US" w:eastAsia="zh-CN" w:bidi="ar-SA"/>
        </w:rPr>
        <w:t>将其拆分为一项单独的履约义务，按履约进度确认收入。</w:t>
      </w:r>
      <w:r>
        <w:rPr>
          <w:rFonts w:ascii="仿宋" w:hAnsi="仿宋" w:eastAsia="仿宋" w:cs="仿宋"/>
          <w:kern w:val="2"/>
          <w:sz w:val="32"/>
          <w:szCs w:val="32"/>
          <w:highlight w:val="none"/>
          <w:lang w:val="en-US" w:eastAsia="zh-CN" w:bidi="ar-SA"/>
        </w:rPr>
        <w:t>对于该项</w:t>
      </w:r>
      <w:r>
        <w:rPr>
          <w:rFonts w:hint="eastAsia" w:ascii="仿宋" w:hAnsi="仿宋" w:eastAsia="仿宋" w:cs="仿宋"/>
          <w:kern w:val="2"/>
          <w:sz w:val="32"/>
          <w:szCs w:val="32"/>
          <w:highlight w:val="none"/>
          <w:lang w:val="en-US" w:eastAsia="zh-CN" w:bidi="ar-SA"/>
        </w:rPr>
        <w:t>技术支持</w:t>
      </w:r>
      <w:r>
        <w:rPr>
          <w:rFonts w:ascii="仿宋" w:hAnsi="仿宋" w:eastAsia="仿宋" w:cs="仿宋"/>
          <w:kern w:val="2"/>
          <w:sz w:val="32"/>
          <w:szCs w:val="32"/>
          <w:highlight w:val="none"/>
          <w:lang w:val="en-US" w:eastAsia="zh-CN" w:bidi="ar-SA"/>
        </w:rPr>
        <w:t>服务发生的支出，应计入</w:t>
      </w:r>
      <w:r>
        <w:rPr>
          <w:rFonts w:hint="eastAsia" w:ascii="仿宋" w:hAnsi="仿宋" w:eastAsia="仿宋" w:cs="仿宋"/>
          <w:kern w:val="2"/>
          <w:sz w:val="32"/>
          <w:szCs w:val="32"/>
          <w:highlight w:val="none"/>
          <w:lang w:val="en-US" w:eastAsia="zh-CN" w:bidi="ar-SA"/>
        </w:rPr>
        <w:t>技术</w:t>
      </w:r>
      <w:r>
        <w:rPr>
          <w:rFonts w:ascii="仿宋" w:hAnsi="仿宋" w:eastAsia="仿宋" w:cs="仿宋"/>
          <w:kern w:val="2"/>
          <w:sz w:val="32"/>
          <w:szCs w:val="32"/>
          <w:highlight w:val="none"/>
          <w:lang w:val="en-US" w:eastAsia="zh-CN" w:bidi="ar-SA"/>
        </w:rPr>
        <w:t>服务</w:t>
      </w:r>
      <w:r>
        <w:rPr>
          <w:rFonts w:hint="eastAsia" w:ascii="仿宋" w:hAnsi="仿宋" w:eastAsia="仿宋" w:cs="仿宋"/>
          <w:kern w:val="2"/>
          <w:sz w:val="32"/>
          <w:szCs w:val="32"/>
          <w:highlight w:val="none"/>
          <w:lang w:val="en-US" w:eastAsia="zh-CN" w:bidi="ar-SA"/>
        </w:rPr>
        <w:t>项目营业</w:t>
      </w:r>
      <w:r>
        <w:rPr>
          <w:rFonts w:ascii="仿宋" w:hAnsi="仿宋" w:eastAsia="仿宋" w:cs="仿宋"/>
          <w:kern w:val="2"/>
          <w:sz w:val="32"/>
          <w:szCs w:val="32"/>
          <w:highlight w:val="none"/>
          <w:lang w:val="en-US" w:eastAsia="zh-CN" w:bidi="ar-SA"/>
        </w:rPr>
        <w:t>成本。</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3．相关规则</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《企业会计准则第14号——收入（2017）》</w:t>
      </w:r>
    </w:p>
    <w:p>
      <w:pPr>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第三十三条  对于附有质量保证条款的销售，企业应当评估该质量保证是否在向客户保证所销售商品符合既定标准之外提供了一项单独的服务。企业提供额外服务的，应当作为单项履约义务，按照本准则规定进行会计处理；否则，质量保证责任应当按照《企业会计准则第13号——或有事项》规定进行会计处理。在评估质量保证是否在向客户保证所销售商品符合既定标准之外提供了一项单独的服务时，企业应当考虑该质量保证是否为法定要求、质量保证期限以及企业承诺履行任务的性质等因素。客户能够选择单独购买质量保证的，该质量保证构成单项履约义务。</w:t>
      </w:r>
    </w:p>
    <w:p>
      <w:pPr>
        <w:spacing w:line="560" w:lineRule="exact"/>
        <w:ind w:firstLine="640" w:firstLineChars="200"/>
        <w:outlineLvl w:val="1"/>
        <w:rPr>
          <w:rFonts w:hint="eastAsia" w:ascii="楷体" w:hAnsi="楷体" w:eastAsia="楷体" w:cs="楷体"/>
          <w:sz w:val="32"/>
          <w:szCs w:val="32"/>
          <w:highlight w:val="none"/>
        </w:rPr>
      </w:pPr>
      <w:r>
        <w:rPr>
          <w:rFonts w:hint="eastAsia" w:ascii="楷体" w:hAnsi="楷体" w:eastAsia="楷体" w:cs="楷体"/>
          <w:sz w:val="32"/>
          <w:szCs w:val="32"/>
          <w:highlight w:val="none"/>
        </w:rPr>
        <w:t>小结</w:t>
      </w:r>
    </w:p>
    <w:p>
      <w:pPr>
        <w:widowControl w:val="0"/>
        <w:spacing w:line="560" w:lineRule="exact"/>
        <w:ind w:firstLine="640" w:firstLineChars="200"/>
        <w:jc w:val="both"/>
        <w:rPr>
          <w:rFonts w:hint="eastAsia" w:ascii="仿宋" w:hAnsi="仿宋" w:eastAsia="仿宋" w:cstheme="minorBidi"/>
          <w:kern w:val="2"/>
          <w:sz w:val="32"/>
          <w:szCs w:val="24"/>
          <w:highlight w:val="none"/>
          <w:lang w:val="en-US" w:eastAsia="zh-CN" w:bidi="ar-SA"/>
        </w:rPr>
      </w:pPr>
      <w:r>
        <w:rPr>
          <w:rFonts w:hint="eastAsia" w:ascii="仿宋" w:hAnsi="仿宋" w:eastAsia="仿宋" w:cstheme="minorBidi"/>
          <w:kern w:val="2"/>
          <w:sz w:val="32"/>
          <w:szCs w:val="24"/>
          <w:highlight w:val="none"/>
          <w:lang w:val="en-US" w:eastAsia="zh-CN" w:bidi="ar-SA"/>
        </w:rPr>
        <w:t>上述两个案例反映了与收入确认相关的典型问题。案例一中，A公司因客户延迟验收对定制化设备按库龄法计提存货跌价准备，但其未正确判断商品控制权是否已转移。若客户已实际使用设备并获得几乎全部的经济利益，则表明控制权已转移，公司应确认收入而非仅以验收程序延迟为由推迟入账；对于未满足收入确认条件的存货，其减值计量需基于合同价格扣除相关成本后的可变现净值，而非基于可收回率估计减值金额的库龄法。案例二中，B公司未区分两类质保服务的性质，未正确做出相应的会计处理。根据会计准则，保证类质保需按历史数据预估费用并计提预计负债，而服务类质保因超出基本质量保证范围且可单独提供，应作为单项履约义务进行会计处理。</w:t>
      </w:r>
    </w:p>
    <w:p>
      <w:pPr>
        <w:widowControl w:val="0"/>
        <w:spacing w:line="560" w:lineRule="exact"/>
        <w:ind w:firstLine="640" w:firstLineChars="200"/>
        <w:jc w:val="both"/>
        <w:rPr>
          <w:rFonts w:hint="eastAsia" w:ascii="仿宋" w:hAnsi="仿宋" w:eastAsia="仿宋" w:cstheme="minorBidi"/>
          <w:kern w:val="2"/>
          <w:sz w:val="32"/>
          <w:szCs w:val="24"/>
          <w:highlight w:val="none"/>
          <w:lang w:val="en-US" w:eastAsia="zh-CN" w:bidi="ar-SA"/>
        </w:rPr>
      </w:pPr>
      <w:r>
        <w:rPr>
          <w:rFonts w:hint="eastAsia" w:ascii="仿宋" w:hAnsi="仿宋" w:eastAsia="仿宋" w:cstheme="minorBidi"/>
          <w:kern w:val="2"/>
          <w:sz w:val="32"/>
          <w:szCs w:val="24"/>
          <w:highlight w:val="none"/>
          <w:lang w:val="en-US" w:eastAsia="zh-CN" w:bidi="ar-SA"/>
        </w:rPr>
        <w:t>公司在对相关业务进行会计处理过程中，要注意结合相关业务的经济实质进行判断。会计师事务所应关注企业是否恰当运用收入确认原则，存货减值方法是否合理，质保服务会计处理是否准确。</w:t>
      </w:r>
    </w:p>
    <w:p>
      <w:pPr>
        <w:topLinePunct/>
        <w:spacing w:line="560" w:lineRule="exact"/>
        <w:ind w:firstLine="640" w:firstLineChars="200"/>
        <w:outlineLvl w:val="1"/>
        <w:rPr>
          <w:rFonts w:hint="eastAsia" w:ascii="楷体" w:hAnsi="楷体" w:eastAsia="楷体" w:cs="楷体"/>
          <w:sz w:val="32"/>
          <w:szCs w:val="32"/>
          <w:highlight w:val="none"/>
        </w:rPr>
      </w:pPr>
      <w:r>
        <w:rPr>
          <w:rFonts w:hint="eastAsia" w:ascii="楷体" w:hAnsi="楷体" w:eastAsia="楷体" w:cs="楷体"/>
          <w:sz w:val="32"/>
          <w:szCs w:val="32"/>
          <w:highlight w:val="none"/>
        </w:rPr>
        <w:t>（二）重大交易相关问题</w:t>
      </w:r>
    </w:p>
    <w:p>
      <w:pPr>
        <w:topLinePunct/>
        <w:spacing w:line="560" w:lineRule="exact"/>
        <w:ind w:firstLine="640" w:firstLineChars="200"/>
        <w:outlineLvl w:val="1"/>
        <w:rPr>
          <w:rFonts w:hint="eastAsia" w:ascii="楷体" w:hAnsi="楷体" w:eastAsia="楷体" w:cs="楷体"/>
          <w:sz w:val="32"/>
          <w:szCs w:val="32"/>
          <w:highlight w:val="none"/>
        </w:rPr>
      </w:pPr>
      <w:r>
        <w:rPr>
          <w:rFonts w:hint="eastAsia" w:ascii="楷体" w:hAnsi="楷体" w:eastAsia="楷体" w:cs="楷体"/>
          <w:sz w:val="32"/>
          <w:szCs w:val="32"/>
          <w:highlight w:val="none"/>
        </w:rPr>
        <w:t>案例三：关于收购公司形成的应付股权转让款</w:t>
      </w:r>
      <w:r>
        <w:rPr>
          <w:rFonts w:hint="eastAsia" w:ascii="楷体" w:hAnsi="楷体" w:eastAsia="楷体" w:cs="Times New Roman"/>
          <w:color w:val="000000"/>
          <w:sz w:val="32"/>
          <w:szCs w:val="32"/>
          <w:highlight w:val="none"/>
        </w:rPr>
        <w:t>相关问题</w:t>
      </w:r>
    </w:p>
    <w:p>
      <w:pPr>
        <w:topLinePunct/>
        <w:spacing w:line="560" w:lineRule="exact"/>
        <w:ind w:firstLine="640" w:firstLineChars="200"/>
        <w:outlineLvl w:val="2"/>
        <w:rPr>
          <w:rFonts w:hint="eastAsia" w:ascii="仿宋" w:hAnsi="仿宋" w:eastAsia="仿宋" w:cs="仿宋"/>
          <w:sz w:val="32"/>
          <w:szCs w:val="32"/>
          <w:highlight w:val="none"/>
        </w:rPr>
      </w:pPr>
      <w:r>
        <w:rPr>
          <w:rFonts w:hint="eastAsia" w:ascii="仿宋" w:hAnsi="仿宋" w:eastAsia="仿宋" w:cs="仿宋"/>
          <w:sz w:val="32"/>
          <w:szCs w:val="32"/>
          <w:highlight w:val="none"/>
        </w:rPr>
        <w:t>1．案例及相关问题</w:t>
      </w:r>
    </w:p>
    <w:p>
      <w:pPr>
        <w:widowControl w:val="0"/>
        <w:topLinePunct/>
        <w:spacing w:line="560" w:lineRule="exact"/>
        <w:ind w:firstLine="640" w:firstLineChars="200"/>
        <w:jc w:val="both"/>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20X2年9月，</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以7000万元受让独立第三方甲公司持有的乙公司100%股权。前述交易完成后，乙公司成为</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的全资子公司。</w:t>
      </w:r>
    </w:p>
    <w:p>
      <w:pPr>
        <w:widowControl w:val="0"/>
        <w:topLinePunct/>
        <w:spacing w:line="560" w:lineRule="exact"/>
        <w:ind w:firstLine="640" w:firstLineChars="200"/>
        <w:jc w:val="both"/>
        <w:rPr>
          <w:rFonts w:hint="eastAsia" w:ascii="仿宋" w:hAnsi="仿宋" w:eastAsia="仿宋" w:cs="仿宋"/>
          <w:kern w:val="2"/>
          <w:sz w:val="32"/>
          <w:szCs w:val="32"/>
          <w:highlight w:val="none"/>
          <w:lang w:val="en-US" w:eastAsia="zh-CN" w:bidi="ar-SA"/>
        </w:rPr>
      </w:pP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与甲公司约定，在股权过户后3个工作日内，向甲公司支付首笔股权转让款4000万元，剩余股权转让款3000万元分3笔依次在20X3年4月末、20X4年4月末、20X5年4月末前支付，每笔各支付1000万元。</w:t>
      </w:r>
    </w:p>
    <w:p>
      <w:pPr>
        <w:widowControl w:val="0"/>
        <w:topLinePunct/>
        <w:spacing w:line="560" w:lineRule="exact"/>
        <w:ind w:firstLine="640" w:firstLineChars="200"/>
        <w:jc w:val="both"/>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同时，甲公司向</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做出业绩承诺：乙公司20X2年度至20X4年度累计扣非净利润不低于6000万元，其中20X2年度不低于1000万元，20X3年度不低于2000万元，20X4年度不低于3000万元。业绩承诺期内，若乙公司每年均未能完成该年度的业绩承诺，则由甲公司在次一年度4月末前向</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进行补偿，每年度的业绩补偿金额以1000万元为限，补偿方式为直接从次一年度</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应向甲公司支付的股权转让款1000万元中扣除。若乙公司20X2年度至20X4年度累计实现的扣非净利润不低于6000万元，则</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在20X5年4月末前向甲公司无息全额退还此前向甲公司收取的业绩补偿款，即补足此前被应收业绩补偿款抵扣的应付股权转让款。</w:t>
      </w:r>
    </w:p>
    <w:p>
      <w:pPr>
        <w:widowControl w:val="0"/>
        <w:topLinePunct/>
        <w:spacing w:line="560" w:lineRule="exact"/>
        <w:ind w:firstLine="640" w:firstLineChars="200"/>
        <w:jc w:val="both"/>
        <w:rPr>
          <w:rFonts w:hint="eastAsia" w:ascii="仿宋" w:hAnsi="仿宋" w:eastAsia="仿宋" w:cstheme="minorBidi"/>
          <w:kern w:val="2"/>
          <w:sz w:val="32"/>
          <w:szCs w:val="24"/>
          <w:highlight w:val="none"/>
          <w:lang w:val="en-US" w:eastAsia="zh-CN" w:bidi="ar-SA"/>
        </w:rPr>
      </w:pPr>
      <w:r>
        <w:rPr>
          <w:rFonts w:hint="eastAsia" w:ascii="仿宋" w:hAnsi="仿宋" w:eastAsia="仿宋" w:cs="仿宋"/>
          <w:kern w:val="2"/>
          <w:sz w:val="32"/>
          <w:szCs w:val="32"/>
          <w:highlight w:val="none"/>
          <w:lang w:val="en-US" w:eastAsia="zh-CN" w:bidi="ar-SA"/>
        </w:rPr>
        <w:t>对于前述应付股权转让款，</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在购买日预计乙公司很有可能完成业绩承诺，因此将尚未支付的应付股权转让款3000万元全额确认为其他应付款。业绩承诺期内，乙公司实际未完成个别年度业绩承诺，</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未进行会计处理。业绩承诺期结束后，经</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核算，在抵减累计应收业绩补偿款后，应付股权转让款为0，因此</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于20X4年度财务报表中全额冲回其他应付款，并确认公允价值变动收益3000万元。</w:t>
      </w:r>
    </w:p>
    <w:p>
      <w:pPr>
        <w:topLinePunct/>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问题：</w:t>
      </w:r>
      <w:r>
        <w:rPr>
          <w:rFonts w:ascii="楷体" w:hAnsi="楷体" w:eastAsia="楷体" w:cs="楷体"/>
          <w:sz w:val="32"/>
          <w:szCs w:val="32"/>
          <w:highlight w:val="none"/>
        </w:rPr>
        <w:t>C公司</w:t>
      </w:r>
      <w:r>
        <w:rPr>
          <w:rFonts w:hint="eastAsia" w:ascii="楷体" w:hAnsi="楷体" w:eastAsia="楷体" w:cs="楷体"/>
          <w:sz w:val="32"/>
          <w:szCs w:val="32"/>
          <w:highlight w:val="none"/>
        </w:rPr>
        <w:t>对应付股权转让款的会计核算是否正确?</w:t>
      </w:r>
    </w:p>
    <w:p>
      <w:pPr>
        <w:topLinePunct/>
        <w:spacing w:line="560" w:lineRule="exact"/>
        <w:ind w:firstLine="640" w:firstLineChars="200"/>
        <w:outlineLvl w:val="2"/>
        <w:rPr>
          <w:rFonts w:hint="eastAsia" w:ascii="仿宋" w:hAnsi="仿宋" w:eastAsia="仿宋" w:cs="仿宋"/>
          <w:sz w:val="32"/>
          <w:szCs w:val="32"/>
          <w:highlight w:val="none"/>
        </w:rPr>
      </w:pPr>
      <w:r>
        <w:rPr>
          <w:rFonts w:hint="eastAsia" w:ascii="仿宋" w:hAnsi="仿宋" w:eastAsia="仿宋" w:cs="仿宋"/>
          <w:sz w:val="32"/>
          <w:szCs w:val="32"/>
          <w:highlight w:val="none"/>
        </w:rPr>
        <w:t>2．参考意见</w:t>
      </w:r>
    </w:p>
    <w:p>
      <w:pPr>
        <w:widowControl w:val="0"/>
        <w:topLinePunct/>
        <w:spacing w:line="560" w:lineRule="exact"/>
        <w:ind w:firstLine="640" w:firstLineChars="200"/>
        <w:jc w:val="both"/>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根据企业会计准则，非同一控制下企业合并中或有对价构成金融资产或金融负债的，应当以公允价值计量并将其变动计入当期损益。</w:t>
      </w:r>
    </w:p>
    <w:p>
      <w:pPr>
        <w:widowControl w:val="0"/>
        <w:topLinePunct/>
        <w:spacing w:line="560" w:lineRule="exact"/>
        <w:ind w:firstLine="640" w:firstLineChars="200"/>
        <w:jc w:val="both"/>
        <w:rPr>
          <w:rFonts w:hint="eastAsia" w:ascii="仿宋" w:hAnsi="仿宋" w:eastAsia="仿宋" w:cstheme="minorBidi"/>
          <w:kern w:val="2"/>
          <w:sz w:val="32"/>
          <w:szCs w:val="20"/>
          <w:highlight w:val="none"/>
          <w:lang w:val="en-US" w:eastAsia="zh-CN" w:bidi="ar-SA"/>
        </w:rPr>
      </w:pPr>
      <w:r>
        <w:rPr>
          <w:rFonts w:hint="eastAsia" w:ascii="仿宋" w:hAnsi="仿宋" w:eastAsia="仿宋" w:cs="仿宋"/>
          <w:kern w:val="2"/>
          <w:sz w:val="32"/>
          <w:szCs w:val="32"/>
          <w:highlight w:val="none"/>
          <w:lang w:val="en-US" w:eastAsia="zh-CN" w:bidi="ar-SA"/>
        </w:rPr>
        <w:t>本案例中，</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向独立第三方甲公司以现金收购其持有的乙公司1</w:t>
      </w:r>
      <w:r>
        <w:rPr>
          <w:rFonts w:ascii="仿宋" w:hAnsi="仿宋" w:eastAsia="仿宋" w:cs="仿宋"/>
          <w:kern w:val="2"/>
          <w:sz w:val="32"/>
          <w:szCs w:val="32"/>
          <w:highlight w:val="none"/>
          <w:lang w:val="en-US" w:eastAsia="zh-CN" w:bidi="ar-SA"/>
        </w:rPr>
        <w:t>00%</w:t>
      </w:r>
      <w:r>
        <w:rPr>
          <w:rFonts w:hint="eastAsia" w:ascii="仿宋" w:hAnsi="仿宋" w:eastAsia="仿宋" w:cs="仿宋"/>
          <w:kern w:val="2"/>
          <w:sz w:val="32"/>
          <w:szCs w:val="32"/>
          <w:highlight w:val="none"/>
          <w:lang w:val="en-US" w:eastAsia="zh-CN" w:bidi="ar-SA"/>
        </w:rPr>
        <w:t>股权，约定分阶段支付股权转让款，并做出业绩承诺安排。业绩承诺期内，若乙公司未能完成任意一个年度的业绩承诺，则由甲公司向</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支付业绩补偿款，每一年度的业绩补偿款均以次一年度</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应付股权转让款为限，从次一年度应付股权转让款中扣除。由于应付股权转让款的金额根据剩余股权转让款扣减业绩补偿款计算得出，实际上为</w:t>
      </w:r>
      <w:r>
        <w:rPr>
          <w:rFonts w:ascii="仿宋" w:hAnsi="仿宋" w:eastAsia="仿宋" w:cs="仿宋"/>
          <w:kern w:val="2"/>
          <w:sz w:val="32"/>
          <w:szCs w:val="32"/>
          <w:highlight w:val="none"/>
          <w:lang w:val="en-US" w:eastAsia="zh-CN" w:bidi="ar-SA"/>
        </w:rPr>
        <w:t>C公司</w:t>
      </w:r>
      <w:r>
        <w:rPr>
          <w:rFonts w:hint="eastAsia" w:ascii="仿宋" w:hAnsi="仿宋" w:eastAsia="仿宋" w:cs="仿宋"/>
          <w:kern w:val="2"/>
          <w:sz w:val="32"/>
          <w:szCs w:val="32"/>
          <w:highlight w:val="none"/>
          <w:lang w:val="en-US" w:eastAsia="zh-CN" w:bidi="ar-SA"/>
        </w:rPr>
        <w:t>应向甲公司支付的或有对价，应将其确认为以公允价值计量且其变动计入当期损益的金融负债，并在购买日和后续每个业绩承诺期内确定其公允价值。</w:t>
      </w:r>
    </w:p>
    <w:p>
      <w:pPr>
        <w:topLinePunct/>
        <w:spacing w:line="560" w:lineRule="exact"/>
        <w:ind w:firstLine="640" w:firstLineChars="200"/>
        <w:outlineLvl w:val="2"/>
        <w:rPr>
          <w:rFonts w:hint="eastAsia" w:ascii="仿宋" w:hAnsi="仿宋" w:eastAsia="仿宋" w:cs="仿宋"/>
          <w:sz w:val="32"/>
          <w:szCs w:val="32"/>
          <w:highlight w:val="none"/>
        </w:rPr>
      </w:pPr>
      <w:r>
        <w:rPr>
          <w:rFonts w:hint="eastAsia" w:ascii="仿宋" w:hAnsi="仿宋" w:eastAsia="仿宋" w:cs="仿宋"/>
          <w:sz w:val="32"/>
          <w:szCs w:val="32"/>
          <w:highlight w:val="none"/>
        </w:rPr>
        <w:t>3．相关规则</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（1）《企业会计准则第2号——长期股权投资（2014）》</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第五条 非同一控制下的企业合并，购买方在购买日应当按照《企业会计准则第20号——企业合并》的有关规定确定的合并成本作为长期股权投资的初始投资成本。</w:t>
      </w:r>
    </w:p>
    <w:p>
      <w:pPr>
        <w:topLinePunct/>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（2）《企业会计准则</w:t>
      </w:r>
      <w:r>
        <w:rPr>
          <w:rFonts w:hint="eastAsia" w:ascii="仿宋" w:hAnsi="仿宋" w:eastAsia="仿宋" w:cs="仿宋"/>
          <w:sz w:val="32"/>
          <w:szCs w:val="32"/>
          <w:highlight w:val="none"/>
          <w:lang w:eastAsia="zh-CN"/>
        </w:rPr>
        <w:t>应用指南汇编</w:t>
      </w:r>
      <w:r>
        <w:rPr>
          <w:rFonts w:hint="eastAsia" w:ascii="仿宋" w:hAnsi="仿宋" w:eastAsia="仿宋" w:cs="仿宋"/>
          <w:sz w:val="32"/>
          <w:szCs w:val="32"/>
          <w:highlight w:val="none"/>
        </w:rPr>
        <w:t>（20</w:t>
      </w:r>
      <w:r>
        <w:rPr>
          <w:rFonts w:hint="eastAsia" w:ascii="仿宋" w:hAnsi="仿宋" w:eastAsia="仿宋" w:cs="仿宋"/>
          <w:sz w:val="32"/>
          <w:szCs w:val="32"/>
          <w:highlight w:val="none"/>
          <w:lang w:val="en-US" w:eastAsia="zh-CN"/>
        </w:rPr>
        <w:t>24</w:t>
      </w:r>
      <w:r>
        <w:rPr>
          <w:rFonts w:hint="eastAsia" w:ascii="仿宋" w:hAnsi="仿宋" w:eastAsia="仿宋" w:cs="仿宋"/>
          <w:sz w:val="32"/>
          <w:szCs w:val="32"/>
          <w:highlight w:val="none"/>
        </w:rPr>
        <w:t>）》</w:t>
      </w:r>
    </w:p>
    <w:p>
      <w:pPr>
        <w:topLinePunct/>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第二十章 企业合并</w:t>
      </w:r>
    </w:p>
    <w:p>
      <w:pPr>
        <w:topLinePunct/>
        <w:spacing w:line="560" w:lineRule="exact"/>
        <w:ind w:firstLine="640" w:firstLineChars="200"/>
        <w:rPr>
          <w:rFonts w:ascii="仿宋" w:hAnsi="仿宋" w:eastAsia="仿宋" w:cs="仿宋"/>
          <w:sz w:val="32"/>
          <w:szCs w:val="32"/>
          <w:highlight w:val="none"/>
        </w:rPr>
      </w:pPr>
      <w:r>
        <w:rPr>
          <w:rFonts w:ascii="仿宋" w:hAnsi="仿宋" w:eastAsia="仿宋" w:cs="仿宋"/>
          <w:sz w:val="32"/>
          <w:szCs w:val="32"/>
          <w:highlight w:val="none"/>
        </w:rPr>
        <w:t>某些情况下，合并各方可能在合并协议中约定，根据未来一项或多项或有事项的发生，购买方通过发行额外证券、支付额外现金或其他资产等方式追加合并对价，或者要求返还之前已经支付的对价。购买方应当将合并协议约定的或有对价作为企业合并转移对价的一部分，按照其在购买日的公允价值计入企业合并成本。根据</w:t>
      </w:r>
      <w:r>
        <w:rPr>
          <w:rFonts w:hint="eastAsia" w:ascii="仿宋" w:hAnsi="仿宋" w:eastAsia="仿宋" w:cs="仿宋"/>
          <w:sz w:val="32"/>
          <w:szCs w:val="32"/>
          <w:highlight w:val="none"/>
          <w:lang w:eastAsia="zh-CN"/>
        </w:rPr>
        <w:t>第三十八章</w:t>
      </w:r>
      <w:r>
        <w:rPr>
          <w:rFonts w:ascii="仿宋" w:hAnsi="仿宋" w:eastAsia="仿宋" w:cs="仿宋"/>
          <w:sz w:val="32"/>
          <w:szCs w:val="32"/>
          <w:highlight w:val="none"/>
        </w:rPr>
        <w:t>金融工具列报</w:t>
      </w:r>
      <w:r>
        <w:rPr>
          <w:rFonts w:hint="eastAsia" w:ascii="仿宋" w:hAnsi="仿宋" w:eastAsia="仿宋" w:cs="仿宋"/>
          <w:sz w:val="32"/>
          <w:szCs w:val="32"/>
          <w:highlight w:val="none"/>
          <w:lang w:eastAsia="zh-CN"/>
        </w:rPr>
        <w:t>、第二十二章</w:t>
      </w:r>
      <w:r>
        <w:rPr>
          <w:rFonts w:ascii="仿宋" w:hAnsi="仿宋" w:eastAsia="仿宋" w:cs="仿宋"/>
          <w:sz w:val="32"/>
          <w:szCs w:val="32"/>
          <w:highlight w:val="none"/>
        </w:rPr>
        <w:t>金融工具确认和计量以及其他相关</w:t>
      </w:r>
      <w:r>
        <w:rPr>
          <w:rFonts w:hint="eastAsia" w:ascii="仿宋" w:hAnsi="仿宋" w:eastAsia="仿宋" w:cs="仿宋"/>
          <w:sz w:val="32"/>
          <w:szCs w:val="32"/>
          <w:highlight w:val="none"/>
          <w:lang w:eastAsia="zh-CN"/>
        </w:rPr>
        <w:t>章</w:t>
      </w:r>
      <w:r>
        <w:rPr>
          <w:rFonts w:ascii="仿宋" w:hAnsi="仿宋" w:eastAsia="仿宋" w:cs="仿宋"/>
          <w:sz w:val="32"/>
          <w:szCs w:val="32"/>
          <w:highlight w:val="none"/>
        </w:rPr>
        <w:t>的规定，或有对价符合权益工具和金融负债定义的，购买方应当将支付或有对价的义务确认为一项权益或负债；符合资产定义并满足资产确认条件的，购买方应当将符合合并协议约定条件的、可收回的部分已支付合并对价的权利确认为一项资产。</w:t>
      </w:r>
    </w:p>
    <w:p>
      <w:pPr>
        <w:topLinePunct/>
        <w:spacing w:line="560" w:lineRule="exact"/>
        <w:ind w:firstLine="640" w:firstLineChars="200"/>
        <w:rPr>
          <w:rFonts w:ascii="仿宋" w:hAnsi="仿宋" w:eastAsia="仿宋" w:cs="仿宋"/>
          <w:sz w:val="32"/>
          <w:szCs w:val="32"/>
          <w:highlight w:val="none"/>
        </w:rPr>
      </w:pPr>
      <w:r>
        <w:rPr>
          <w:rFonts w:ascii="仿宋" w:hAnsi="仿宋" w:eastAsia="仿宋" w:cs="仿宋"/>
          <w:sz w:val="32"/>
          <w:szCs w:val="32"/>
          <w:highlight w:val="none"/>
        </w:rPr>
        <w:t>购买日后12个月内出现对购买日已存在情况的新的或者进一步证据而需要调整或有对价的，应当予以确认并对原计入合并商誉的金额进行调整；其他情况下发生的或有对价变化或调整，应当区分下</w:t>
      </w:r>
      <w:r>
        <w:rPr>
          <w:rFonts w:hint="eastAsia" w:ascii="仿宋" w:hAnsi="仿宋" w:eastAsia="仿宋" w:cs="仿宋"/>
          <w:sz w:val="32"/>
          <w:szCs w:val="32"/>
          <w:highlight w:val="none"/>
          <w:lang w:eastAsia="zh-CN"/>
        </w:rPr>
        <w:t>列</w:t>
      </w:r>
      <w:r>
        <w:rPr>
          <w:rFonts w:ascii="仿宋" w:hAnsi="仿宋" w:eastAsia="仿宋" w:cs="仿宋"/>
          <w:sz w:val="32"/>
          <w:szCs w:val="32"/>
          <w:highlight w:val="none"/>
        </w:rPr>
        <w:t>情况进行会计处理：或有对价为权益性质的，不进行会计处理；或有对价为资产或负债性质的，按照</w:t>
      </w:r>
      <w:r>
        <w:rPr>
          <w:rFonts w:hint="eastAsia" w:ascii="仿宋" w:hAnsi="仿宋" w:eastAsia="仿宋" w:cs="仿宋"/>
          <w:sz w:val="32"/>
          <w:szCs w:val="32"/>
          <w:highlight w:val="none"/>
          <w:lang w:eastAsia="zh-CN"/>
        </w:rPr>
        <w:t>相应章</w:t>
      </w:r>
      <w:r>
        <w:rPr>
          <w:rFonts w:ascii="仿宋" w:hAnsi="仿宋" w:eastAsia="仿宋" w:cs="仿宋"/>
          <w:sz w:val="32"/>
          <w:szCs w:val="32"/>
          <w:highlight w:val="none"/>
        </w:rPr>
        <w:t>有关规定处理，如果属于</w:t>
      </w:r>
      <w:r>
        <w:rPr>
          <w:rFonts w:hint="eastAsia" w:ascii="仿宋" w:hAnsi="仿宋" w:eastAsia="仿宋" w:cs="仿宋"/>
          <w:sz w:val="32"/>
          <w:szCs w:val="32"/>
          <w:highlight w:val="none"/>
          <w:lang w:eastAsia="zh-CN"/>
        </w:rPr>
        <w:t>第二十二章</w:t>
      </w:r>
      <w:r>
        <w:rPr>
          <w:rFonts w:ascii="仿宋" w:hAnsi="仿宋" w:eastAsia="仿宋" w:cs="仿宋"/>
          <w:sz w:val="32"/>
          <w:szCs w:val="32"/>
          <w:highlight w:val="none"/>
        </w:rPr>
        <w:t>金融工具确认和计量中的金融工具，应采用公允价值计量，公允价值变化产生的利得和损失应按该</w:t>
      </w:r>
      <w:r>
        <w:rPr>
          <w:rFonts w:hint="eastAsia" w:ascii="仿宋" w:hAnsi="仿宋" w:eastAsia="仿宋" w:cs="仿宋"/>
          <w:sz w:val="32"/>
          <w:szCs w:val="32"/>
          <w:highlight w:val="none"/>
          <w:lang w:eastAsia="zh-CN"/>
        </w:rPr>
        <w:t>章</w:t>
      </w:r>
      <w:r>
        <w:rPr>
          <w:rFonts w:ascii="仿宋" w:hAnsi="仿宋" w:eastAsia="仿宋" w:cs="仿宋"/>
          <w:sz w:val="32"/>
          <w:szCs w:val="32"/>
          <w:highlight w:val="none"/>
        </w:rPr>
        <w:t>规定计入当期损益；如果不属于</w:t>
      </w:r>
      <w:r>
        <w:rPr>
          <w:rFonts w:hint="eastAsia" w:ascii="仿宋" w:hAnsi="仿宋" w:eastAsia="仿宋" w:cs="仿宋"/>
          <w:sz w:val="32"/>
          <w:szCs w:val="32"/>
          <w:highlight w:val="none"/>
          <w:lang w:eastAsia="zh-CN"/>
        </w:rPr>
        <w:t>第二十二章</w:t>
      </w:r>
      <w:r>
        <w:rPr>
          <w:rFonts w:ascii="仿宋" w:hAnsi="仿宋" w:eastAsia="仿宋" w:cs="仿宋"/>
          <w:sz w:val="32"/>
          <w:szCs w:val="32"/>
          <w:highlight w:val="none"/>
        </w:rPr>
        <w:t>金融工具确认和计量中的金融工具，应按照</w:t>
      </w:r>
      <w:r>
        <w:rPr>
          <w:rFonts w:hint="eastAsia" w:ascii="仿宋" w:hAnsi="仿宋" w:eastAsia="仿宋" w:cs="仿宋"/>
          <w:sz w:val="32"/>
          <w:szCs w:val="32"/>
          <w:highlight w:val="none"/>
          <w:lang w:eastAsia="zh-CN"/>
        </w:rPr>
        <w:t>第十四章</w:t>
      </w:r>
      <w:r>
        <w:rPr>
          <w:rFonts w:ascii="仿宋" w:hAnsi="仿宋" w:eastAsia="仿宋" w:cs="仿宋"/>
          <w:sz w:val="32"/>
          <w:szCs w:val="32"/>
          <w:highlight w:val="none"/>
        </w:rPr>
        <w:t>或有事项或其他相应</w:t>
      </w:r>
      <w:r>
        <w:rPr>
          <w:rFonts w:hint="eastAsia" w:ascii="仿宋" w:hAnsi="仿宋" w:eastAsia="仿宋" w:cs="仿宋"/>
          <w:sz w:val="32"/>
          <w:szCs w:val="32"/>
          <w:highlight w:val="none"/>
          <w:lang w:eastAsia="zh-CN"/>
        </w:rPr>
        <w:t>章</w:t>
      </w:r>
      <w:r>
        <w:rPr>
          <w:rFonts w:ascii="仿宋" w:hAnsi="仿宋" w:eastAsia="仿宋" w:cs="仿宋"/>
          <w:sz w:val="32"/>
          <w:szCs w:val="32"/>
          <w:highlight w:val="none"/>
        </w:rPr>
        <w:t>处理。</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（3）《企业会计准则第22号——金融工具确认和计量（2017）》</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第十九条 企业在非同一控制下的企业合并中确认的或有对价构成金融资产的，该金融资产应当分类为以公允价值计量且其变动计入当期损益的金融资产，不得指定为以公允价值计量且其变动计入其他综合收益的金融资产。</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第二十一条 在非同一控制下的企业合并中，企业作为购买方确认的或有对价形成金融负债的，该金融负债应当按照以公允价值计量且其变动计入当期损益进行会计处理。</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（4）《企业会计准则第37号——金融工具列报（2017）》</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第二十八条 金融资产和金融负债应当在资产负债表内分别列示，不得相互抵销。但同时满足下列条件的，应当以相互抵销后的净额在资产负债表内列示：</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（一）企业具有抵销已确认金额的法定权利，且该种法定权利是当前可执行的；</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（二）企业计划以净额结算，或同时变现该金融资产和清偿该金融负债。</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不满足终止确认条件的金融资产转移，转出方不得将已转移的金融资产和相关负债进行抵销。</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（5）《监管规则适用指引——会计类第1号》</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1-7 非同一控制下企业合并的或有对价</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非同一控制下企业合并中的或有对价构成金融资产或金融负债的，应当以公允价值计量并将其变动计入当期损益；或有对价属于权益性质的，应作为权益性交易进行会计处理。</w:t>
      </w:r>
    </w:p>
    <w:p>
      <w:pPr>
        <w:topLinePunct/>
        <w:spacing w:line="560" w:lineRule="exact"/>
        <w:ind w:firstLine="640" w:firstLineChars="200"/>
        <w:outlineLvl w:val="1"/>
        <w:rPr>
          <w:rFonts w:hint="eastAsia" w:ascii="楷体" w:hAnsi="楷体" w:eastAsia="楷体" w:cs="楷体"/>
          <w:sz w:val="32"/>
          <w:szCs w:val="32"/>
          <w:highlight w:val="none"/>
        </w:rPr>
      </w:pPr>
      <w:r>
        <w:rPr>
          <w:rFonts w:hint="eastAsia" w:ascii="楷体" w:hAnsi="楷体" w:eastAsia="楷体" w:cs="楷体"/>
          <w:sz w:val="32"/>
          <w:szCs w:val="32"/>
          <w:highlight w:val="none"/>
        </w:rPr>
        <w:t>案例四：关于应付股权转让款与业绩补偿款</w:t>
      </w:r>
      <w:r>
        <w:rPr>
          <w:rFonts w:hint="eastAsia" w:ascii="楷体" w:hAnsi="楷体" w:eastAsia="楷体" w:cs="Times New Roman"/>
          <w:color w:val="000000"/>
          <w:sz w:val="32"/>
          <w:szCs w:val="32"/>
          <w:highlight w:val="none"/>
        </w:rPr>
        <w:t>相关问题</w:t>
      </w:r>
    </w:p>
    <w:p>
      <w:pPr>
        <w:topLinePunct/>
        <w:spacing w:line="560" w:lineRule="exact"/>
        <w:ind w:firstLine="640" w:firstLineChars="200"/>
        <w:outlineLvl w:val="2"/>
        <w:rPr>
          <w:rFonts w:hint="eastAsia" w:ascii="仿宋" w:hAnsi="仿宋" w:eastAsia="仿宋" w:cs="仿宋"/>
          <w:sz w:val="32"/>
          <w:szCs w:val="32"/>
          <w:highlight w:val="none"/>
        </w:rPr>
      </w:pPr>
      <w:r>
        <w:rPr>
          <w:rFonts w:hint="eastAsia" w:ascii="仿宋" w:hAnsi="仿宋" w:eastAsia="仿宋" w:cs="仿宋"/>
          <w:sz w:val="32"/>
          <w:szCs w:val="32"/>
          <w:highlight w:val="none"/>
        </w:rPr>
        <w:t>1．案例及相关问题</w:t>
      </w:r>
    </w:p>
    <w:p>
      <w:pPr>
        <w:widowControl w:val="0"/>
        <w:topLinePunct/>
        <w:spacing w:line="560" w:lineRule="exact"/>
        <w:ind w:firstLine="640" w:firstLineChars="200"/>
        <w:jc w:val="both"/>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20X1年</w:t>
      </w:r>
      <w:r>
        <w:rPr>
          <w:rFonts w:ascii="仿宋" w:hAnsi="仿宋" w:eastAsia="仿宋" w:cs="仿宋"/>
          <w:kern w:val="2"/>
          <w:sz w:val="32"/>
          <w:szCs w:val="32"/>
          <w:highlight w:val="none"/>
          <w:lang w:val="en-US" w:eastAsia="zh-CN" w:bidi="ar-SA"/>
        </w:rPr>
        <w:t>1</w:t>
      </w:r>
      <w:r>
        <w:rPr>
          <w:rFonts w:hint="eastAsia" w:ascii="仿宋" w:hAnsi="仿宋" w:eastAsia="仿宋" w:cs="仿宋"/>
          <w:kern w:val="2"/>
          <w:sz w:val="32"/>
          <w:szCs w:val="32"/>
          <w:highlight w:val="none"/>
          <w:lang w:val="en-US" w:eastAsia="zh-CN" w:bidi="ar-SA"/>
        </w:rPr>
        <w:t>0月，</w:t>
      </w:r>
      <w:r>
        <w:rPr>
          <w:rFonts w:ascii="仿宋" w:hAnsi="仿宋" w:eastAsia="仿宋" w:cs="仿宋"/>
          <w:kern w:val="2"/>
          <w:sz w:val="32"/>
          <w:szCs w:val="32"/>
          <w:highlight w:val="none"/>
          <w:lang w:val="en-US" w:eastAsia="zh-CN" w:bidi="ar-SA"/>
        </w:rPr>
        <w:t>D公司</w:t>
      </w:r>
      <w:r>
        <w:rPr>
          <w:rFonts w:hint="eastAsia" w:ascii="仿宋" w:hAnsi="仿宋" w:eastAsia="仿宋" w:cs="仿宋"/>
          <w:kern w:val="2"/>
          <w:sz w:val="32"/>
          <w:szCs w:val="32"/>
          <w:highlight w:val="none"/>
          <w:lang w:val="en-US" w:eastAsia="zh-CN" w:bidi="ar-SA"/>
        </w:rPr>
        <w:t>向独立第三方甲公司购买其持有的乙公司100%股权，股权转让款为8000万元。前述交易完成后，乙公司成为</w:t>
      </w:r>
      <w:r>
        <w:rPr>
          <w:rFonts w:ascii="仿宋" w:hAnsi="仿宋" w:eastAsia="仿宋" w:cs="仿宋"/>
          <w:kern w:val="2"/>
          <w:sz w:val="32"/>
          <w:szCs w:val="32"/>
          <w:highlight w:val="none"/>
          <w:lang w:val="en-US" w:eastAsia="zh-CN" w:bidi="ar-SA"/>
        </w:rPr>
        <w:t>D公司</w:t>
      </w:r>
      <w:r>
        <w:rPr>
          <w:rFonts w:hint="eastAsia" w:ascii="仿宋" w:hAnsi="仿宋" w:eastAsia="仿宋" w:cs="仿宋"/>
          <w:kern w:val="2"/>
          <w:sz w:val="32"/>
          <w:szCs w:val="32"/>
          <w:highlight w:val="none"/>
          <w:lang w:val="en-US" w:eastAsia="zh-CN" w:bidi="ar-SA"/>
        </w:rPr>
        <w:t>的全资子公司。</w:t>
      </w:r>
    </w:p>
    <w:p>
      <w:pPr>
        <w:widowControl w:val="0"/>
        <w:topLinePunct/>
        <w:spacing w:line="560" w:lineRule="exact"/>
        <w:ind w:firstLine="640" w:firstLineChars="200"/>
        <w:jc w:val="both"/>
        <w:rPr>
          <w:rFonts w:hint="eastAsia" w:ascii="仿宋" w:hAnsi="仿宋" w:eastAsia="仿宋" w:cs="仿宋"/>
          <w:kern w:val="2"/>
          <w:sz w:val="32"/>
          <w:szCs w:val="32"/>
          <w:highlight w:val="none"/>
          <w:lang w:val="en-US" w:eastAsia="zh-CN" w:bidi="ar-SA"/>
        </w:rPr>
      </w:pPr>
      <w:r>
        <w:rPr>
          <w:rFonts w:ascii="仿宋" w:hAnsi="仿宋" w:eastAsia="仿宋" w:cs="仿宋"/>
          <w:kern w:val="2"/>
          <w:sz w:val="32"/>
          <w:szCs w:val="32"/>
          <w:highlight w:val="none"/>
          <w:lang w:val="en-US" w:eastAsia="zh-CN" w:bidi="ar-SA"/>
        </w:rPr>
        <w:t>D公司</w:t>
      </w:r>
      <w:r>
        <w:rPr>
          <w:rFonts w:hint="eastAsia" w:ascii="仿宋" w:hAnsi="仿宋" w:eastAsia="仿宋" w:cs="仿宋"/>
          <w:kern w:val="2"/>
          <w:sz w:val="32"/>
          <w:szCs w:val="32"/>
          <w:highlight w:val="none"/>
          <w:lang w:val="en-US" w:eastAsia="zh-CN" w:bidi="ar-SA"/>
        </w:rPr>
        <w:t>与甲公司约定，在董事会决议公告后3个工作日内，向甲公司支付第一笔股权转让款5000万元，剩余股权转让款3000万元分3笔依次在20X2年4月末、20X3年4月末、20X4年4月末前进行支付，每笔各支付1000万元。3笔股权转让款的支付前提分别为乙公司20X1年度扣非净利润不低于2000万元、20X2年度扣非净利润不低于3000万元、20X3年度扣非净利润不低于4000万元。</w:t>
      </w:r>
    </w:p>
    <w:p>
      <w:pPr>
        <w:widowControl w:val="0"/>
        <w:topLinePunct/>
        <w:spacing w:line="560" w:lineRule="exact"/>
        <w:ind w:firstLine="640" w:firstLineChars="200"/>
        <w:jc w:val="both"/>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业绩承诺期内，若乙公司任意一个年度实现的扣非净利润低于当年度承诺扣非净利润的75%，则由甲公司在次一年度4月末前向</w:t>
      </w:r>
      <w:r>
        <w:rPr>
          <w:rFonts w:ascii="仿宋" w:hAnsi="仿宋" w:eastAsia="仿宋" w:cs="仿宋"/>
          <w:kern w:val="2"/>
          <w:sz w:val="32"/>
          <w:szCs w:val="32"/>
          <w:highlight w:val="none"/>
          <w:lang w:val="en-US" w:eastAsia="zh-CN" w:bidi="ar-SA"/>
        </w:rPr>
        <w:t>D公司</w:t>
      </w:r>
      <w:r>
        <w:rPr>
          <w:rFonts w:hint="eastAsia" w:ascii="仿宋" w:hAnsi="仿宋" w:eastAsia="仿宋" w:cs="仿宋"/>
          <w:kern w:val="2"/>
          <w:sz w:val="32"/>
          <w:szCs w:val="32"/>
          <w:highlight w:val="none"/>
          <w:lang w:val="en-US" w:eastAsia="zh-CN" w:bidi="ar-SA"/>
        </w:rPr>
        <w:t>进行补偿，业绩补偿款优先抵减</w:t>
      </w:r>
      <w:r>
        <w:rPr>
          <w:rFonts w:ascii="仿宋" w:hAnsi="仿宋" w:eastAsia="仿宋" w:cs="仿宋"/>
          <w:kern w:val="2"/>
          <w:sz w:val="32"/>
          <w:szCs w:val="32"/>
          <w:highlight w:val="none"/>
          <w:lang w:val="en-US" w:eastAsia="zh-CN" w:bidi="ar-SA"/>
        </w:rPr>
        <w:t>D公司</w:t>
      </w:r>
      <w:r>
        <w:rPr>
          <w:rFonts w:hint="eastAsia" w:ascii="仿宋" w:hAnsi="仿宋" w:eastAsia="仿宋" w:cs="仿宋"/>
          <w:kern w:val="2"/>
          <w:sz w:val="32"/>
          <w:szCs w:val="32"/>
          <w:highlight w:val="none"/>
          <w:lang w:val="en-US" w:eastAsia="zh-CN" w:bidi="ar-SA"/>
        </w:rPr>
        <w:t>本应在次一年度向甲公司支付的股权转让款1000万元，次一年度股权转让款不足抵减的，再抵减本应在再次一年度向甲公司支付的股权转让款，以此类推。仍不足抵减的部分，由甲公司通过现金向</w:t>
      </w:r>
      <w:r>
        <w:rPr>
          <w:rFonts w:ascii="仿宋" w:hAnsi="仿宋" w:eastAsia="仿宋" w:cs="仿宋"/>
          <w:kern w:val="2"/>
          <w:sz w:val="32"/>
          <w:szCs w:val="32"/>
          <w:highlight w:val="none"/>
          <w:lang w:val="en-US" w:eastAsia="zh-CN" w:bidi="ar-SA"/>
        </w:rPr>
        <w:t>D公司</w:t>
      </w:r>
      <w:r>
        <w:rPr>
          <w:rFonts w:hint="eastAsia" w:ascii="仿宋" w:hAnsi="仿宋" w:eastAsia="仿宋" w:cs="仿宋"/>
          <w:kern w:val="2"/>
          <w:sz w:val="32"/>
          <w:szCs w:val="32"/>
          <w:highlight w:val="none"/>
          <w:lang w:val="en-US" w:eastAsia="zh-CN" w:bidi="ar-SA"/>
        </w:rPr>
        <w:t>清偿。</w:t>
      </w:r>
    </w:p>
    <w:p>
      <w:pPr>
        <w:widowControl w:val="0"/>
        <w:topLinePunct/>
        <w:spacing w:line="560" w:lineRule="exact"/>
        <w:ind w:firstLine="640" w:firstLineChars="200"/>
        <w:jc w:val="both"/>
        <w:rPr>
          <w:rFonts w:hint="eastAsia" w:ascii="仿宋" w:hAnsi="仿宋" w:eastAsia="仿宋" w:cstheme="minorBidi"/>
          <w:kern w:val="2"/>
          <w:sz w:val="32"/>
          <w:szCs w:val="24"/>
          <w:highlight w:val="none"/>
          <w:lang w:val="en-US" w:eastAsia="zh-CN" w:bidi="ar-SA"/>
        </w:rPr>
      </w:pPr>
      <w:r>
        <w:rPr>
          <w:rFonts w:hint="eastAsia" w:ascii="仿宋" w:hAnsi="仿宋" w:eastAsia="仿宋" w:cs="仿宋"/>
          <w:kern w:val="2"/>
          <w:sz w:val="32"/>
          <w:szCs w:val="32"/>
          <w:highlight w:val="none"/>
          <w:lang w:val="en-US" w:eastAsia="zh-CN" w:bidi="ar-SA"/>
        </w:rPr>
        <w:t>对于前述业绩承诺事项，</w:t>
      </w:r>
      <w:r>
        <w:rPr>
          <w:rFonts w:ascii="仿宋" w:hAnsi="仿宋" w:eastAsia="仿宋" w:cs="仿宋"/>
          <w:kern w:val="2"/>
          <w:sz w:val="32"/>
          <w:szCs w:val="32"/>
          <w:highlight w:val="none"/>
          <w:lang w:val="en-US" w:eastAsia="zh-CN" w:bidi="ar-SA"/>
        </w:rPr>
        <w:t>D公司</w:t>
      </w:r>
      <w:r>
        <w:rPr>
          <w:rFonts w:hint="eastAsia" w:ascii="仿宋" w:hAnsi="仿宋" w:eastAsia="仿宋" w:cs="仿宋"/>
          <w:kern w:val="2"/>
          <w:sz w:val="32"/>
          <w:szCs w:val="32"/>
          <w:highlight w:val="none"/>
          <w:lang w:val="en-US" w:eastAsia="zh-CN" w:bidi="ar-SA"/>
        </w:rPr>
        <w:t>在购买日预计乙公司很有可能完成业绩承诺，因此将未支付的应付股权转让款3000万元全额确认为其他应付款。业绩承诺期内，乙公司20X1年度、20X2年度、20X3年度的实际扣非净利润未达到当年度承诺扣非净利润的75%，但</w:t>
      </w:r>
      <w:r>
        <w:rPr>
          <w:rFonts w:ascii="仿宋" w:hAnsi="仿宋" w:eastAsia="仿宋" w:cs="仿宋"/>
          <w:kern w:val="2"/>
          <w:sz w:val="32"/>
          <w:szCs w:val="32"/>
          <w:highlight w:val="none"/>
          <w:lang w:val="en-US" w:eastAsia="zh-CN" w:bidi="ar-SA"/>
        </w:rPr>
        <w:t>D公司</w:t>
      </w:r>
      <w:r>
        <w:rPr>
          <w:rFonts w:hint="eastAsia" w:ascii="仿宋" w:hAnsi="仿宋" w:eastAsia="仿宋" w:cs="仿宋"/>
          <w:kern w:val="2"/>
          <w:sz w:val="32"/>
          <w:szCs w:val="32"/>
          <w:highlight w:val="none"/>
          <w:lang w:val="en-US" w:eastAsia="zh-CN" w:bidi="ar-SA"/>
        </w:rPr>
        <w:t>未在业绩承诺期内调整应付股权转让款金额，亦未确认预计将会从甲公司处取得的业绩补偿款。业绩承诺期结束后，</w:t>
      </w:r>
      <w:r>
        <w:rPr>
          <w:rFonts w:ascii="仿宋" w:hAnsi="仿宋" w:eastAsia="仿宋" w:cs="仿宋"/>
          <w:kern w:val="2"/>
          <w:sz w:val="32"/>
          <w:szCs w:val="32"/>
          <w:highlight w:val="none"/>
          <w:lang w:val="en-US" w:eastAsia="zh-CN" w:bidi="ar-SA"/>
        </w:rPr>
        <w:t>D公司</w:t>
      </w:r>
      <w:r>
        <w:rPr>
          <w:rFonts w:hint="eastAsia" w:ascii="仿宋" w:hAnsi="仿宋" w:eastAsia="仿宋" w:cs="仿宋"/>
          <w:kern w:val="2"/>
          <w:sz w:val="32"/>
          <w:szCs w:val="32"/>
          <w:highlight w:val="none"/>
          <w:lang w:val="en-US" w:eastAsia="zh-CN" w:bidi="ar-SA"/>
        </w:rPr>
        <w:t>于20X4年度财务报表中对其他应付款做了全额冲回，并确认营业外收入3000万元。</w:t>
      </w:r>
    </w:p>
    <w:p>
      <w:pPr>
        <w:topLinePunct/>
        <w:spacing w:line="560" w:lineRule="exact"/>
        <w:ind w:firstLine="640" w:firstLineChars="200"/>
        <w:rPr>
          <w:rFonts w:hint="eastAsia" w:ascii="楷体" w:hAnsi="楷体" w:eastAsia="楷体" w:cs="楷体"/>
          <w:sz w:val="32"/>
          <w:szCs w:val="32"/>
          <w:highlight w:val="none"/>
        </w:rPr>
      </w:pPr>
      <w:r>
        <w:rPr>
          <w:rFonts w:hint="eastAsia" w:ascii="楷体" w:hAnsi="楷体" w:eastAsia="楷体" w:cs="楷体"/>
          <w:sz w:val="32"/>
          <w:szCs w:val="32"/>
          <w:highlight w:val="none"/>
        </w:rPr>
        <w:t>问题：</w:t>
      </w:r>
      <w:r>
        <w:rPr>
          <w:rFonts w:ascii="楷体" w:hAnsi="楷体" w:eastAsia="楷体" w:cs="楷体"/>
          <w:sz w:val="32"/>
          <w:szCs w:val="32"/>
          <w:highlight w:val="none"/>
        </w:rPr>
        <w:t>D公司</w:t>
      </w:r>
      <w:r>
        <w:rPr>
          <w:rFonts w:hint="eastAsia" w:ascii="楷体" w:hAnsi="楷体" w:eastAsia="楷体" w:cs="楷体"/>
          <w:sz w:val="32"/>
          <w:szCs w:val="32"/>
          <w:highlight w:val="none"/>
        </w:rPr>
        <w:t>对应付股权转让款和业绩补偿款的会计核算是否正确?</w:t>
      </w:r>
    </w:p>
    <w:p>
      <w:pPr>
        <w:topLinePunct/>
        <w:spacing w:line="560" w:lineRule="exact"/>
        <w:ind w:firstLine="640" w:firstLineChars="200"/>
        <w:outlineLvl w:val="2"/>
        <w:rPr>
          <w:rFonts w:hint="eastAsia" w:ascii="仿宋" w:hAnsi="仿宋" w:eastAsia="仿宋" w:cs="仿宋"/>
          <w:sz w:val="32"/>
          <w:szCs w:val="32"/>
          <w:highlight w:val="none"/>
        </w:rPr>
      </w:pPr>
      <w:r>
        <w:rPr>
          <w:rFonts w:hint="eastAsia" w:ascii="仿宋" w:hAnsi="仿宋" w:eastAsia="仿宋" w:cs="仿宋"/>
          <w:sz w:val="32"/>
          <w:szCs w:val="32"/>
          <w:highlight w:val="none"/>
        </w:rPr>
        <w:t>2．参考意见</w:t>
      </w:r>
    </w:p>
    <w:p>
      <w:pPr>
        <w:widowControl w:val="0"/>
        <w:topLinePunct/>
        <w:spacing w:line="560" w:lineRule="exact"/>
        <w:ind w:firstLine="640" w:firstLineChars="200"/>
        <w:jc w:val="both"/>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根据企业会计准则，非同一控制下企业合并中的或有对价构成金融资产或金融负债的，应当以公允价值计量并将其变动计入当期损益。</w:t>
      </w:r>
    </w:p>
    <w:p>
      <w:pPr>
        <w:widowControl w:val="0"/>
        <w:topLinePunct/>
        <w:spacing w:line="560" w:lineRule="exact"/>
        <w:ind w:firstLine="640" w:firstLineChars="200"/>
        <w:jc w:val="both"/>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本案例与上一案例类似，均约定应收业绩补偿款以投资方应付股权转让款抵扣。不同的是，上一案例中，应收业绩补偿款以应付股权转让款为限，而本案例中，如应付股权转让款不足抵减，则业绩承诺方就差额部分进行现金补偿。这种情况下，非同一控制下企业合并涉及的或有对价不但涉及追加股权转让款产生的金融负债，还涉及收到业绩补偿款产生的金融资产。</w:t>
      </w:r>
    </w:p>
    <w:p>
      <w:pPr>
        <w:widowControl w:val="0"/>
        <w:topLinePunct/>
        <w:spacing w:line="560" w:lineRule="exact"/>
        <w:ind w:firstLine="640" w:firstLineChars="200"/>
        <w:jc w:val="both"/>
        <w:rPr>
          <w:rFonts w:hint="eastAsia" w:ascii="仿宋" w:hAnsi="仿宋" w:eastAsia="仿宋" w:cstheme="minorBidi"/>
          <w:kern w:val="2"/>
          <w:sz w:val="32"/>
          <w:szCs w:val="20"/>
          <w:highlight w:val="none"/>
          <w:lang w:val="en-US" w:eastAsia="zh-CN" w:bidi="ar-SA"/>
        </w:rPr>
      </w:pPr>
      <w:r>
        <w:rPr>
          <w:rFonts w:hint="eastAsia" w:ascii="仿宋" w:hAnsi="仿宋" w:eastAsia="仿宋" w:cs="仿宋"/>
          <w:kern w:val="2"/>
          <w:sz w:val="32"/>
          <w:szCs w:val="32"/>
          <w:highlight w:val="none"/>
          <w:lang w:val="en-US" w:eastAsia="zh-CN" w:bidi="ar-SA"/>
        </w:rPr>
        <w:t>对于业绩承诺事项，</w:t>
      </w:r>
      <w:r>
        <w:rPr>
          <w:rFonts w:ascii="仿宋" w:hAnsi="仿宋" w:eastAsia="仿宋" w:cs="仿宋"/>
          <w:kern w:val="2"/>
          <w:sz w:val="32"/>
          <w:szCs w:val="32"/>
          <w:highlight w:val="none"/>
          <w:lang w:val="en-US" w:eastAsia="zh-CN" w:bidi="ar-SA"/>
        </w:rPr>
        <w:t>D公司</w:t>
      </w:r>
      <w:r>
        <w:rPr>
          <w:rFonts w:hint="eastAsia" w:ascii="仿宋" w:hAnsi="仿宋" w:eastAsia="仿宋" w:cs="仿宋"/>
          <w:kern w:val="2"/>
          <w:sz w:val="32"/>
          <w:szCs w:val="32"/>
          <w:highlight w:val="none"/>
          <w:lang w:val="en-US" w:eastAsia="zh-CN" w:bidi="ar-SA"/>
        </w:rPr>
        <w:t>应当在购买日恰当估计可变对价公允价值，确认为金融资产或金融负债。在业绩承诺期内各资产负债表日，</w:t>
      </w:r>
      <w:r>
        <w:rPr>
          <w:rFonts w:ascii="仿宋" w:hAnsi="仿宋" w:eastAsia="仿宋" w:cs="仿宋"/>
          <w:kern w:val="2"/>
          <w:sz w:val="32"/>
          <w:szCs w:val="32"/>
          <w:highlight w:val="none"/>
          <w:lang w:val="en-US" w:eastAsia="zh-CN" w:bidi="ar-SA"/>
        </w:rPr>
        <w:t>D公司</w:t>
      </w:r>
      <w:r>
        <w:rPr>
          <w:rFonts w:hint="eastAsia" w:ascii="仿宋" w:hAnsi="仿宋" w:eastAsia="仿宋" w:cs="仿宋"/>
          <w:kern w:val="2"/>
          <w:sz w:val="32"/>
          <w:szCs w:val="32"/>
          <w:highlight w:val="none"/>
          <w:lang w:val="en-US" w:eastAsia="zh-CN" w:bidi="ar-SA"/>
        </w:rPr>
        <w:t>应当结合乙公司业绩承诺完成情况，对可变对价公允价值进行恰当估计，并及时将相关变动计入当期损益。</w:t>
      </w:r>
    </w:p>
    <w:p>
      <w:pPr>
        <w:topLinePunct/>
        <w:spacing w:line="560" w:lineRule="exact"/>
        <w:ind w:firstLine="640" w:firstLineChars="200"/>
        <w:outlineLvl w:val="2"/>
        <w:rPr>
          <w:rFonts w:hint="eastAsia" w:ascii="仿宋" w:hAnsi="仿宋" w:eastAsia="仿宋" w:cs="仿宋"/>
          <w:sz w:val="32"/>
          <w:szCs w:val="32"/>
          <w:highlight w:val="none"/>
        </w:rPr>
      </w:pPr>
      <w:r>
        <w:rPr>
          <w:rFonts w:hint="eastAsia" w:ascii="仿宋" w:hAnsi="仿宋" w:eastAsia="仿宋" w:cs="仿宋"/>
          <w:sz w:val="32"/>
          <w:szCs w:val="32"/>
          <w:highlight w:val="none"/>
        </w:rPr>
        <w:t>3．相关规则</w:t>
      </w:r>
    </w:p>
    <w:p>
      <w:pPr>
        <w:topLinePunct/>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同案例三。</w:t>
      </w:r>
    </w:p>
    <w:p>
      <w:pPr>
        <w:topLinePunct/>
        <w:spacing w:line="560" w:lineRule="exact"/>
        <w:ind w:firstLine="640" w:firstLineChars="200"/>
        <w:outlineLvl w:val="1"/>
        <w:rPr>
          <w:rFonts w:hint="eastAsia" w:ascii="楷体" w:hAnsi="楷体" w:eastAsia="楷体" w:cs="楷体"/>
          <w:sz w:val="32"/>
          <w:szCs w:val="32"/>
          <w:highlight w:val="none"/>
        </w:rPr>
      </w:pPr>
      <w:r>
        <w:rPr>
          <w:rFonts w:hint="eastAsia" w:ascii="楷体" w:hAnsi="楷体" w:eastAsia="楷体" w:cs="楷体"/>
          <w:sz w:val="32"/>
          <w:szCs w:val="32"/>
          <w:highlight w:val="none"/>
        </w:rPr>
        <w:t>小结</w:t>
      </w:r>
    </w:p>
    <w:p>
      <w:pPr>
        <w:widowControl w:val="0"/>
        <w:topLinePunct/>
        <w:spacing w:line="560" w:lineRule="exact"/>
        <w:ind w:firstLine="640" w:firstLineChars="200"/>
        <w:jc w:val="both"/>
        <w:rPr>
          <w:rFonts w:hint="eastAsia" w:ascii="仿宋" w:hAnsi="仿宋" w:eastAsia="仿宋" w:cstheme="minorBidi"/>
          <w:kern w:val="2"/>
          <w:sz w:val="32"/>
          <w:szCs w:val="24"/>
          <w:highlight w:val="none"/>
          <w:lang w:val="en-US" w:eastAsia="zh-CN" w:bidi="ar-SA"/>
        </w:rPr>
      </w:pPr>
      <w:r>
        <w:rPr>
          <w:rFonts w:hint="eastAsia" w:ascii="仿宋" w:hAnsi="仿宋" w:eastAsia="仿宋" w:cstheme="minorBidi"/>
          <w:kern w:val="2"/>
          <w:sz w:val="32"/>
          <w:szCs w:val="24"/>
          <w:highlight w:val="none"/>
          <w:lang w:val="en-US" w:eastAsia="zh-CN" w:bidi="ar-SA"/>
        </w:rPr>
        <w:t>部分上市公司收购标的公司时约定了业绩承诺，但未恰当确认业绩承诺形成的或有对价。公司应当按照企业会计准则的相关规定，将合并协议约定的或有对价作为企业合并转移对价的一部分，按照其在购买日的公允价值计入企业合并成本。对于或有对价构成权益工具的，不再核算后续公允价值变动。对于或有对价构成金融资产或金融负债的，应当以公允价值计量并将其变动计入当期损益。</w:t>
      </w:r>
    </w:p>
    <w:p>
      <w:pPr>
        <w:widowControl w:val="0"/>
        <w:spacing w:line="560" w:lineRule="exact"/>
        <w:ind w:firstLine="640" w:firstLineChars="200"/>
        <w:jc w:val="both"/>
        <w:rPr>
          <w:rFonts w:hint="eastAsia" w:ascii="仿宋" w:hAnsi="仿宋" w:eastAsia="仿宋" w:cstheme="minorBidi"/>
          <w:kern w:val="2"/>
          <w:sz w:val="32"/>
          <w:szCs w:val="20"/>
          <w:highlight w:val="none"/>
          <w:lang w:val="en-US" w:eastAsia="zh-CN" w:bidi="ar-SA"/>
        </w:rPr>
      </w:pPr>
      <w:r>
        <w:rPr>
          <w:rFonts w:hint="eastAsia" w:ascii="仿宋" w:hAnsi="仿宋" w:eastAsia="仿宋" w:cstheme="minorBidi"/>
          <w:kern w:val="2"/>
          <w:sz w:val="32"/>
          <w:szCs w:val="20"/>
          <w:highlight w:val="none"/>
          <w:lang w:val="en-US" w:eastAsia="zh-CN" w:bidi="ar-SA"/>
        </w:rPr>
        <w:t>公司在对合并涉及的业绩承诺进行会计处理过程中，要注意结合相关业务的经济实质进行判断。会计师事务所应关注</w:t>
      </w:r>
      <w:r>
        <w:rPr>
          <w:rFonts w:hint="eastAsia" w:ascii="仿宋" w:hAnsi="仿宋" w:eastAsia="仿宋" w:cs="仿宋"/>
          <w:kern w:val="2"/>
          <w:sz w:val="32"/>
          <w:szCs w:val="32"/>
          <w:highlight w:val="none"/>
          <w:lang w:val="en-US" w:eastAsia="zh-CN" w:bidi="ar-SA"/>
        </w:rPr>
        <w:t>企业合并或有对价</w:t>
      </w:r>
      <w:r>
        <w:rPr>
          <w:rFonts w:hint="eastAsia" w:ascii="仿宋" w:hAnsi="仿宋" w:eastAsia="仿宋" w:cstheme="minorBidi"/>
          <w:kern w:val="2"/>
          <w:sz w:val="32"/>
          <w:szCs w:val="20"/>
          <w:highlight w:val="none"/>
          <w:lang w:val="en-US" w:eastAsia="zh-CN" w:bidi="ar-SA"/>
        </w:rPr>
        <w:t>会计处理是否准确。</w:t>
      </w:r>
    </w:p>
    <w:p>
      <w:pPr>
        <w:keepNext w:val="0"/>
        <w:keepLines w:val="0"/>
        <w:pageBreakBefore w:val="0"/>
        <w:kinsoku/>
        <w:wordWrap/>
        <w:topLinePunct/>
        <w:bidi w:val="0"/>
        <w:adjustRightInd w:val="0"/>
        <w:snapToGrid w:val="0"/>
        <w:spacing w:beforeLines="0" w:afterLines="0" w:line="560" w:lineRule="exact"/>
        <w:ind w:firstLine="640" w:firstLineChars="200"/>
        <w:outlineLvl w:val="0"/>
        <w:rPr>
          <w:rFonts w:hint="eastAsia" w:ascii="楷体" w:hAnsi="楷体" w:eastAsia="楷体" w:cs="楷体"/>
          <w:i w:val="0"/>
          <w:iCs w:val="0"/>
          <w:caps w:val="0"/>
          <w:spacing w:val="7"/>
          <w:sz w:val="32"/>
          <w:szCs w:val="32"/>
          <w:highlight w:val="none"/>
          <w:shd w:val="clear" w:color="auto" w:fill="FFFFFF"/>
        </w:rPr>
      </w:pPr>
      <w:r>
        <w:rPr>
          <w:rFonts w:hint="eastAsia" w:ascii="黑体" w:hAnsi="黑体" w:eastAsia="黑体" w:cs="Times New Roman"/>
          <w:color w:val="000000"/>
          <w:sz w:val="32"/>
          <w:szCs w:val="32"/>
          <w:highlight w:val="none"/>
          <w:lang w:eastAsia="zh-CN"/>
        </w:rPr>
        <w:t>四</w:t>
      </w:r>
      <w:r>
        <w:rPr>
          <w:rFonts w:hint="eastAsia" w:ascii="黑体" w:hAnsi="黑体" w:eastAsia="黑体" w:cs="Times New Roman"/>
          <w:color w:val="000000"/>
          <w:sz w:val="32"/>
          <w:szCs w:val="32"/>
          <w:highlight w:val="none"/>
        </w:rPr>
        <w:t>、会计审计政策资讯</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bidi="ar"/>
        </w:rPr>
      </w:pPr>
      <w:r>
        <w:rPr>
          <w:rFonts w:hint="eastAsia" w:ascii="黑体" w:hAnsi="黑体" w:eastAsia="黑体" w:cs="黑体"/>
          <w:kern w:val="0"/>
          <w:sz w:val="32"/>
          <w:szCs w:val="32"/>
          <w:highlight w:val="none"/>
          <w:lang w:val="en-US" w:eastAsia="zh-CN" w:bidi="ar"/>
        </w:rPr>
        <w:t>（一）财政部会计审计政策资讯</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楷体" w:hAnsi="楷体" w:eastAsia="楷体" w:cs="楷体"/>
          <w:kern w:val="0"/>
          <w:sz w:val="32"/>
          <w:szCs w:val="32"/>
          <w:highlight w:val="none"/>
          <w:lang w:val="en-US" w:eastAsia="zh-CN" w:bidi="ar"/>
        </w:rPr>
      </w:pPr>
      <w:r>
        <w:rPr>
          <w:rFonts w:hint="eastAsia" w:ascii="楷体" w:hAnsi="楷体" w:eastAsia="楷体" w:cs="楷体"/>
          <w:kern w:val="0"/>
          <w:sz w:val="32"/>
          <w:szCs w:val="32"/>
          <w:highlight w:val="none"/>
          <w:lang w:val="en-US" w:eastAsia="zh-CN" w:bidi="ar"/>
        </w:rPr>
        <w:t>1．财政部发布</w:t>
      </w:r>
      <w:r>
        <w:rPr>
          <w:rFonts w:hint="eastAsia" w:ascii="楷体" w:hAnsi="楷体" w:eastAsia="楷体" w:cs="楷体"/>
          <w:kern w:val="0"/>
          <w:sz w:val="32"/>
          <w:szCs w:val="32"/>
          <w:highlight w:val="none"/>
          <w:lang w:bidi="ar"/>
        </w:rPr>
        <w:t>《地方政府专项债券相关业务会计处理暂行规定》</w:t>
      </w:r>
    </w:p>
    <w:p>
      <w:pPr>
        <w:keepNext w:val="0"/>
        <w:keepLines w:val="0"/>
        <w:pageBreakBefore w:val="0"/>
        <w:widowControl/>
        <w:kinsoku/>
        <w:wordWrap/>
        <w:bidi w:val="0"/>
        <w:spacing w:beforeLines="0" w:afterLines="0" w:line="560" w:lineRule="exact"/>
        <w:ind w:firstLine="640" w:firstLineChars="200"/>
        <w:rPr>
          <w:rFonts w:hint="eastAsia" w:ascii="仿宋" w:hAnsi="仿宋" w:eastAsia="仿宋" w:cs="仿宋"/>
          <w:kern w:val="0"/>
          <w:sz w:val="32"/>
          <w:szCs w:val="32"/>
          <w:highlight w:val="none"/>
          <w:lang w:val="en-US" w:eastAsia="zh-CN" w:bidi="ar"/>
        </w:rPr>
      </w:pPr>
      <w:r>
        <w:rPr>
          <w:rFonts w:hint="eastAsia" w:ascii="仿宋" w:hAnsi="仿宋" w:eastAsia="仿宋" w:cs="仿宋"/>
          <w:kern w:val="0"/>
          <w:sz w:val="32"/>
          <w:szCs w:val="32"/>
          <w:highlight w:val="none"/>
          <w:lang w:val="en-US" w:eastAsia="zh-CN" w:bidi="ar"/>
        </w:rPr>
        <w:t>2025年9月5日，</w:t>
      </w:r>
      <w:r>
        <w:rPr>
          <w:rFonts w:hint="eastAsia" w:ascii="仿宋" w:hAnsi="仿宋" w:eastAsia="仿宋" w:cs="仿宋"/>
          <w:kern w:val="0"/>
          <w:sz w:val="32"/>
          <w:szCs w:val="32"/>
          <w:highlight w:val="none"/>
          <w:lang w:bidi="ar"/>
        </w:rPr>
        <w:t>为完善项目单位对地方政府专项债券（以下简称专项债券）相关业务的会计处理，优化专项债券管理机制，强化专项债券全流程管理，</w:t>
      </w:r>
      <w:r>
        <w:rPr>
          <w:rFonts w:hint="eastAsia" w:ascii="仿宋" w:hAnsi="仿宋" w:eastAsia="仿宋" w:cs="仿宋"/>
          <w:kern w:val="0"/>
          <w:sz w:val="32"/>
          <w:szCs w:val="32"/>
          <w:highlight w:val="none"/>
          <w:lang w:val="en-US" w:eastAsia="zh-CN" w:bidi="ar"/>
        </w:rPr>
        <w:t>财政部</w:t>
      </w:r>
      <w:r>
        <w:rPr>
          <w:rFonts w:hint="eastAsia" w:ascii="仿宋" w:hAnsi="仿宋" w:eastAsia="仿宋" w:cs="仿宋"/>
          <w:kern w:val="0"/>
          <w:sz w:val="32"/>
          <w:szCs w:val="32"/>
          <w:highlight w:val="none"/>
          <w:lang w:eastAsia="zh-CN" w:bidi="ar"/>
        </w:rPr>
        <w:t>发布</w:t>
      </w:r>
      <w:r>
        <w:rPr>
          <w:rFonts w:hint="eastAsia" w:ascii="仿宋" w:hAnsi="仿宋" w:eastAsia="仿宋" w:cs="仿宋"/>
          <w:kern w:val="0"/>
          <w:sz w:val="32"/>
          <w:szCs w:val="32"/>
          <w:highlight w:val="none"/>
          <w:lang w:bidi="ar"/>
        </w:rPr>
        <w:t>《地方政府专项债券相关业务会计处理暂行规定》</w:t>
      </w:r>
      <w:r>
        <w:rPr>
          <w:rFonts w:hint="eastAsia" w:ascii="仿宋" w:hAnsi="仿宋" w:eastAsia="仿宋" w:cs="仿宋"/>
          <w:kern w:val="0"/>
          <w:sz w:val="32"/>
          <w:szCs w:val="32"/>
          <w:highlight w:val="none"/>
          <w:lang w:val="en-US" w:eastAsia="zh-CN" w:bidi="ar"/>
        </w:rPr>
        <w:t>。</w:t>
      </w:r>
    </w:p>
    <w:p>
      <w:pPr>
        <w:keepNext w:val="0"/>
        <w:keepLines w:val="0"/>
        <w:pageBreakBefore w:val="0"/>
        <w:widowControl/>
        <w:kinsoku/>
        <w:wordWrap/>
        <w:bidi w:val="0"/>
        <w:spacing w:beforeLines="0" w:afterLines="0" w:line="560" w:lineRule="exact"/>
        <w:ind w:firstLine="640" w:firstLineChars="200"/>
        <w:rPr>
          <w:rFonts w:hint="eastAsia" w:ascii="仿宋" w:hAnsi="仿宋" w:eastAsia="仿宋" w:cs="仿宋"/>
          <w:kern w:val="0"/>
          <w:sz w:val="32"/>
          <w:szCs w:val="32"/>
          <w:highlight w:val="none"/>
          <w:lang w:val="en-US" w:eastAsia="zh-CN" w:bidi="ar"/>
        </w:rPr>
      </w:pPr>
      <w:r>
        <w:rPr>
          <w:rFonts w:hint="eastAsia" w:ascii="仿宋" w:hAnsi="仿宋" w:eastAsia="仿宋" w:cs="仿宋"/>
          <w:kern w:val="0"/>
          <w:sz w:val="32"/>
          <w:szCs w:val="32"/>
          <w:highlight w:val="none"/>
          <w:lang w:val="en-US" w:eastAsia="zh-CN" w:bidi="ar"/>
        </w:rPr>
        <w:t>主要内容如下：</w:t>
      </w:r>
      <w:r>
        <w:rPr>
          <w:rFonts w:hint="eastAsia" w:ascii="仿宋" w:hAnsi="仿宋" w:eastAsia="仿宋" w:cs="仿宋"/>
          <w:kern w:val="0"/>
          <w:sz w:val="32"/>
          <w:szCs w:val="32"/>
          <w:highlight w:val="none"/>
          <w:lang w:eastAsia="zh-CN" w:bidi="ar"/>
        </w:rPr>
        <w:t>一是</w:t>
      </w:r>
      <w:r>
        <w:rPr>
          <w:rFonts w:hint="eastAsia" w:ascii="仿宋" w:hAnsi="仿宋" w:eastAsia="仿宋" w:cs="仿宋"/>
          <w:kern w:val="0"/>
          <w:sz w:val="32"/>
          <w:szCs w:val="32"/>
          <w:highlight w:val="none"/>
          <w:lang w:bidi="ar"/>
        </w:rPr>
        <w:t>关于行政事业类项目单位的账务处理，对行政事业类项目单位的会计科目设置，以及取得专项债券资金、购建相关资产、取得项目收入等的账务处理进行规范。二</w:t>
      </w:r>
      <w:r>
        <w:rPr>
          <w:rFonts w:hint="eastAsia" w:ascii="仿宋" w:hAnsi="仿宋" w:eastAsia="仿宋" w:cs="仿宋"/>
          <w:kern w:val="0"/>
          <w:sz w:val="32"/>
          <w:szCs w:val="32"/>
          <w:highlight w:val="none"/>
          <w:lang w:eastAsia="zh-CN" w:bidi="ar"/>
        </w:rPr>
        <w:t>是</w:t>
      </w:r>
      <w:r>
        <w:rPr>
          <w:rFonts w:hint="eastAsia" w:ascii="仿宋" w:hAnsi="仿宋" w:eastAsia="仿宋" w:cs="仿宋"/>
          <w:kern w:val="0"/>
          <w:sz w:val="32"/>
          <w:szCs w:val="32"/>
          <w:highlight w:val="none"/>
          <w:lang w:bidi="ar"/>
        </w:rPr>
        <w:t>关于企业类项目单位的账务处理，对企业类项目单位取得专项债券资金、购建相关资产、取得项目收入等的账务处理进行规范。对于行政事业类项目单位和企业类项目单位，均应以项目实施方案（或融资平衡方案）等是否约定由本单位承担本息偿还义务为条件，判断项目单位是否确认负债，以配合债务管理要求压实项目单位的偿还责任。三</w:t>
      </w:r>
      <w:r>
        <w:rPr>
          <w:rFonts w:hint="eastAsia" w:ascii="仿宋" w:hAnsi="仿宋" w:eastAsia="仿宋" w:cs="仿宋"/>
          <w:kern w:val="0"/>
          <w:sz w:val="32"/>
          <w:szCs w:val="32"/>
          <w:highlight w:val="none"/>
          <w:lang w:eastAsia="zh-CN" w:bidi="ar"/>
        </w:rPr>
        <w:t>是</w:t>
      </w:r>
      <w:r>
        <w:rPr>
          <w:rFonts w:hint="eastAsia" w:ascii="仿宋" w:hAnsi="仿宋" w:eastAsia="仿宋" w:cs="仿宋"/>
          <w:kern w:val="0"/>
          <w:sz w:val="32"/>
          <w:szCs w:val="32"/>
          <w:highlight w:val="none"/>
          <w:lang w:bidi="ar"/>
        </w:rPr>
        <w:t>关于专项信息的填报，以项目为主体，根据预算管理要求报送“专项债券项目投资表”、“专项债券资金还款情况表”，对每一个专项债券项目的资产建设情况、各类资金来源及使用情况、专项债券本息偿还情况等进行反映。依托财政部地方政府专项债券穿透式监测系统报送专项信息，提供每一个项目的全生命周期信息，为专项债券项目的闭环管理提供有力的信息支撑。四</w:t>
      </w:r>
      <w:r>
        <w:rPr>
          <w:rFonts w:hint="eastAsia" w:ascii="仿宋" w:hAnsi="仿宋" w:eastAsia="仿宋" w:cs="仿宋"/>
          <w:kern w:val="0"/>
          <w:sz w:val="32"/>
          <w:szCs w:val="32"/>
          <w:highlight w:val="none"/>
          <w:lang w:eastAsia="zh-CN" w:bidi="ar"/>
        </w:rPr>
        <w:t>是</w:t>
      </w:r>
      <w:r>
        <w:rPr>
          <w:rFonts w:hint="eastAsia" w:ascii="仿宋" w:hAnsi="仿宋" w:eastAsia="仿宋" w:cs="仿宋"/>
          <w:kern w:val="0"/>
          <w:sz w:val="32"/>
          <w:szCs w:val="32"/>
          <w:highlight w:val="none"/>
          <w:lang w:bidi="ar"/>
        </w:rPr>
        <w:t>关于新旧衔接的账务处理，对行政事业类项目单位的新旧衔接、项目单位的初始信息填报作出规定。五</w:t>
      </w:r>
      <w:r>
        <w:rPr>
          <w:rFonts w:hint="eastAsia" w:ascii="仿宋" w:hAnsi="仿宋" w:eastAsia="仿宋" w:cs="仿宋"/>
          <w:kern w:val="0"/>
          <w:sz w:val="32"/>
          <w:szCs w:val="32"/>
          <w:highlight w:val="none"/>
          <w:lang w:eastAsia="zh-CN" w:bidi="ar"/>
        </w:rPr>
        <w:t>是</w:t>
      </w:r>
      <w:r>
        <w:rPr>
          <w:rFonts w:hint="eastAsia" w:ascii="仿宋" w:hAnsi="仿宋" w:eastAsia="仿宋" w:cs="仿宋"/>
          <w:kern w:val="0"/>
          <w:sz w:val="32"/>
          <w:szCs w:val="32"/>
          <w:highlight w:val="none"/>
          <w:lang w:bidi="ar"/>
        </w:rPr>
        <w:t>附则，对生效日期等内容进行规范。</w:t>
      </w:r>
    </w:p>
    <w:p>
      <w:pPr>
        <w:keepNext w:val="0"/>
        <w:keepLines w:val="0"/>
        <w:pageBreakBefore w:val="0"/>
        <w:widowControl/>
        <w:kinsoku/>
        <w:wordWrap/>
        <w:overflowPunct/>
        <w:topLinePunct w:val="0"/>
        <w:autoSpaceDE/>
        <w:autoSpaceDN/>
        <w:bidi w:val="0"/>
        <w:adjustRightInd/>
        <w:snapToGrid/>
        <w:spacing w:beforeLines="0" w:beforeAutospacing="0" w:afterLines="0" w:afterAutospacing="0" w:line="560" w:lineRule="exact"/>
        <w:ind w:firstLine="640" w:firstLineChars="200"/>
        <w:textAlignment w:val="auto"/>
        <w:outlineLvl w:val="1"/>
        <w:rPr>
          <w:rFonts w:hint="eastAsia" w:ascii="楷体" w:hAnsi="楷体" w:eastAsia="楷体" w:cs="楷体"/>
          <w:i w:val="0"/>
          <w:caps w:val="0"/>
          <w:spacing w:val="0"/>
          <w:kern w:val="0"/>
          <w:sz w:val="32"/>
          <w:szCs w:val="32"/>
          <w:highlight w:val="none"/>
          <w:shd w:val="clear" w:color="auto" w:fill="auto"/>
          <w:lang w:val="en-US" w:eastAsia="zh-CN" w:bidi="ar"/>
        </w:rPr>
      </w:pPr>
      <w:r>
        <w:rPr>
          <w:rFonts w:hint="eastAsia" w:ascii="楷体" w:hAnsi="楷体" w:eastAsia="楷体" w:cs="楷体"/>
          <w:kern w:val="0"/>
          <w:sz w:val="32"/>
          <w:szCs w:val="32"/>
          <w:highlight w:val="none"/>
          <w:lang w:val="en-US" w:eastAsia="zh-CN" w:bidi="ar"/>
        </w:rPr>
        <w:t>2．</w:t>
      </w:r>
      <w:r>
        <w:rPr>
          <w:rFonts w:hint="eastAsia" w:ascii="楷体" w:hAnsi="楷体" w:eastAsia="楷体" w:cs="楷体"/>
          <w:i w:val="0"/>
          <w:caps w:val="0"/>
          <w:spacing w:val="0"/>
          <w:kern w:val="0"/>
          <w:sz w:val="32"/>
          <w:szCs w:val="32"/>
          <w:highlight w:val="none"/>
          <w:shd w:val="clear" w:color="auto" w:fill="auto"/>
          <w:lang w:bidi="ar"/>
        </w:rPr>
        <w:t>财政部</w:t>
      </w:r>
      <w:r>
        <w:rPr>
          <w:rFonts w:hint="eastAsia" w:ascii="楷体" w:hAnsi="楷体" w:eastAsia="楷体" w:cs="楷体"/>
          <w:kern w:val="0"/>
          <w:sz w:val="32"/>
          <w:szCs w:val="32"/>
          <w:highlight w:val="none"/>
          <w:shd w:val="clear" w:color="auto" w:fill="auto"/>
          <w:lang w:bidi="ar"/>
        </w:rPr>
        <w:t>发布《企业会计准则解释第19号（征求意见稿）》</w:t>
      </w:r>
    </w:p>
    <w:p>
      <w:pPr>
        <w:keepNext w:val="0"/>
        <w:keepLines w:val="0"/>
        <w:pageBreakBefore w:val="0"/>
        <w:widowControl/>
        <w:kinsoku/>
        <w:wordWrap/>
        <w:bidi w:val="0"/>
        <w:spacing w:beforeLines="0" w:afterLines="0" w:line="560" w:lineRule="exact"/>
        <w:ind w:firstLine="640" w:firstLineChars="200"/>
        <w:rPr>
          <w:rFonts w:hint="eastAsia" w:ascii="仿宋" w:hAnsi="仿宋" w:eastAsia="仿宋" w:cs="仿宋"/>
          <w:kern w:val="0"/>
          <w:sz w:val="32"/>
          <w:szCs w:val="32"/>
          <w:highlight w:val="none"/>
          <w:lang w:val="en-US" w:eastAsia="zh-CN" w:bidi="ar"/>
        </w:rPr>
      </w:pPr>
      <w:r>
        <w:rPr>
          <w:rFonts w:hint="eastAsia" w:ascii="仿宋" w:hAnsi="仿宋" w:eastAsia="仿宋" w:cs="仿宋"/>
          <w:kern w:val="0"/>
          <w:sz w:val="32"/>
          <w:szCs w:val="32"/>
          <w:highlight w:val="none"/>
          <w:lang w:val="en-US" w:eastAsia="zh-CN" w:bidi="ar"/>
        </w:rPr>
        <w:t>2025年9月5日，为</w:t>
      </w:r>
      <w:r>
        <w:rPr>
          <w:rFonts w:hint="eastAsia" w:ascii="仿宋" w:hAnsi="仿宋" w:eastAsia="仿宋" w:cs="仿宋"/>
          <w:kern w:val="0"/>
          <w:sz w:val="32"/>
          <w:szCs w:val="32"/>
          <w:highlight w:val="none"/>
          <w:lang w:bidi="ar"/>
        </w:rPr>
        <w:t>进一步规范有关业务的会计处理，切实解决我国企业相关会计实务问题，保持与国际财务报告准则的持续趋同</w:t>
      </w:r>
      <w:r>
        <w:rPr>
          <w:rFonts w:hint="eastAsia" w:ascii="仿宋" w:hAnsi="仿宋" w:eastAsia="仿宋" w:cs="仿宋"/>
          <w:kern w:val="0"/>
          <w:sz w:val="32"/>
          <w:szCs w:val="32"/>
          <w:highlight w:val="none"/>
          <w:lang w:eastAsia="zh-CN" w:bidi="ar"/>
        </w:rPr>
        <w:t>，财政部就</w:t>
      </w:r>
      <w:r>
        <w:rPr>
          <w:rFonts w:hint="eastAsia" w:ascii="仿宋" w:hAnsi="仿宋" w:eastAsia="仿宋" w:cs="仿宋"/>
          <w:kern w:val="0"/>
          <w:sz w:val="32"/>
          <w:szCs w:val="32"/>
          <w:highlight w:val="none"/>
          <w:lang w:bidi="ar"/>
        </w:rPr>
        <w:t>《企业会计准则解释第19号》</w:t>
      </w:r>
      <w:r>
        <w:rPr>
          <w:rFonts w:hint="eastAsia" w:ascii="仿宋" w:hAnsi="仿宋" w:eastAsia="仿宋" w:cs="仿宋"/>
          <w:kern w:val="0"/>
          <w:sz w:val="32"/>
          <w:szCs w:val="32"/>
          <w:highlight w:val="none"/>
          <w:lang w:eastAsia="zh-CN" w:bidi="ar"/>
        </w:rPr>
        <w:t>公开征求意见</w:t>
      </w:r>
      <w:r>
        <w:rPr>
          <w:rFonts w:hint="eastAsia" w:ascii="仿宋" w:hAnsi="仿宋" w:eastAsia="仿宋" w:cs="仿宋"/>
          <w:kern w:val="0"/>
          <w:sz w:val="32"/>
          <w:szCs w:val="32"/>
          <w:highlight w:val="none"/>
          <w:lang w:bidi="ar"/>
        </w:rPr>
        <w:t>。《</w:t>
      </w:r>
      <w:r>
        <w:rPr>
          <w:rFonts w:hint="eastAsia" w:ascii="仿宋" w:hAnsi="仿宋" w:eastAsia="仿宋" w:cs="仿宋"/>
          <w:kern w:val="0"/>
          <w:sz w:val="32"/>
          <w:szCs w:val="32"/>
          <w:highlight w:val="none"/>
          <w:shd w:val="clear"/>
          <w:lang w:bidi="ar"/>
        </w:rPr>
        <w:t>企业会计准则</w:t>
      </w:r>
      <w:r>
        <w:rPr>
          <w:rFonts w:hint="eastAsia" w:ascii="仿宋" w:hAnsi="仿宋" w:eastAsia="仿宋" w:cs="仿宋"/>
          <w:kern w:val="0"/>
          <w:sz w:val="32"/>
          <w:szCs w:val="32"/>
          <w:highlight w:val="none"/>
          <w:lang w:bidi="ar"/>
        </w:rPr>
        <w:t>解释第19号》共包括五个方面内容</w:t>
      </w:r>
      <w:r>
        <w:rPr>
          <w:rFonts w:hint="eastAsia" w:ascii="仿宋" w:hAnsi="仿宋" w:eastAsia="仿宋" w:cs="仿宋"/>
          <w:kern w:val="0"/>
          <w:sz w:val="32"/>
          <w:szCs w:val="32"/>
          <w:highlight w:val="none"/>
          <w:lang w:eastAsia="zh-CN" w:bidi="ar"/>
        </w:rPr>
        <w:t>：一是</w:t>
      </w:r>
      <w:r>
        <w:rPr>
          <w:rFonts w:hint="eastAsia" w:ascii="仿宋" w:hAnsi="仿宋" w:eastAsia="仿宋" w:cs="仿宋"/>
          <w:kern w:val="0"/>
          <w:sz w:val="32"/>
          <w:szCs w:val="32"/>
          <w:highlight w:val="none"/>
          <w:lang w:bidi="ar"/>
        </w:rPr>
        <w:t>关于非同一控制下企业合并中补偿性资产的会计处理</w:t>
      </w:r>
      <w:r>
        <w:rPr>
          <w:rFonts w:hint="eastAsia" w:ascii="仿宋" w:hAnsi="仿宋" w:eastAsia="仿宋" w:cs="仿宋"/>
          <w:kern w:val="0"/>
          <w:sz w:val="32"/>
          <w:szCs w:val="32"/>
          <w:highlight w:val="none"/>
          <w:lang w:eastAsia="zh-CN" w:bidi="ar"/>
        </w:rPr>
        <w:t>；二是</w:t>
      </w:r>
      <w:r>
        <w:rPr>
          <w:rFonts w:hint="eastAsia" w:ascii="仿宋" w:hAnsi="仿宋" w:eastAsia="仿宋" w:cs="仿宋"/>
          <w:kern w:val="0"/>
          <w:sz w:val="32"/>
          <w:szCs w:val="32"/>
          <w:highlight w:val="none"/>
          <w:lang w:bidi="ar"/>
        </w:rPr>
        <w:t>关于处置原同一控制下企业合并取得子公司时相关资本公积的会计处理</w:t>
      </w:r>
      <w:r>
        <w:rPr>
          <w:rFonts w:hint="eastAsia" w:ascii="仿宋" w:hAnsi="仿宋" w:eastAsia="仿宋" w:cs="仿宋"/>
          <w:kern w:val="0"/>
          <w:sz w:val="32"/>
          <w:szCs w:val="32"/>
          <w:highlight w:val="none"/>
          <w:lang w:eastAsia="zh-CN" w:bidi="ar"/>
        </w:rPr>
        <w:t>；三是</w:t>
      </w:r>
      <w:r>
        <w:rPr>
          <w:rFonts w:hint="eastAsia" w:ascii="仿宋" w:hAnsi="仿宋" w:eastAsia="仿宋" w:cs="仿宋"/>
          <w:kern w:val="0"/>
          <w:sz w:val="32"/>
          <w:szCs w:val="32"/>
          <w:highlight w:val="none"/>
          <w:lang w:bidi="ar"/>
        </w:rPr>
        <w:t>关于金融资产和金融负债的确认和终止确认</w:t>
      </w:r>
      <w:r>
        <w:rPr>
          <w:rFonts w:hint="eastAsia" w:ascii="仿宋" w:hAnsi="仿宋" w:eastAsia="仿宋" w:cs="仿宋"/>
          <w:kern w:val="0"/>
          <w:sz w:val="32"/>
          <w:szCs w:val="32"/>
          <w:highlight w:val="none"/>
          <w:lang w:eastAsia="zh-CN" w:bidi="ar"/>
        </w:rPr>
        <w:t>；四是</w:t>
      </w:r>
      <w:r>
        <w:rPr>
          <w:rFonts w:hint="eastAsia" w:ascii="仿宋" w:hAnsi="仿宋" w:eastAsia="仿宋" w:cs="仿宋"/>
          <w:kern w:val="0"/>
          <w:sz w:val="32"/>
          <w:szCs w:val="32"/>
          <w:highlight w:val="none"/>
          <w:lang w:bidi="ar"/>
        </w:rPr>
        <w:t>关于金融资产合同现金流量特征的评估</w:t>
      </w:r>
      <w:r>
        <w:rPr>
          <w:rFonts w:hint="eastAsia" w:ascii="仿宋" w:hAnsi="仿宋" w:eastAsia="仿宋" w:cs="仿宋"/>
          <w:kern w:val="0"/>
          <w:sz w:val="32"/>
          <w:szCs w:val="32"/>
          <w:highlight w:val="none"/>
          <w:lang w:eastAsia="zh-CN" w:bidi="ar"/>
        </w:rPr>
        <w:t>；五是</w:t>
      </w:r>
      <w:r>
        <w:rPr>
          <w:rFonts w:hint="eastAsia" w:ascii="仿宋" w:hAnsi="仿宋" w:eastAsia="仿宋" w:cs="仿宋"/>
          <w:kern w:val="0"/>
          <w:sz w:val="32"/>
          <w:szCs w:val="32"/>
          <w:highlight w:val="none"/>
          <w:lang w:bidi="ar"/>
        </w:rPr>
        <w:t>关于指定为以公允价值计量且其变动计入其他综合收益的权益工具的披露。</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eastAsia" w:ascii="楷体" w:hAnsi="楷体" w:eastAsia="楷体" w:cs="楷体"/>
          <w:kern w:val="0"/>
          <w:sz w:val="32"/>
          <w:szCs w:val="32"/>
          <w:highlight w:val="none"/>
          <w:lang w:val="en-US" w:eastAsia="zh-CN" w:bidi="ar"/>
        </w:rPr>
      </w:pPr>
      <w:r>
        <w:rPr>
          <w:rFonts w:hint="default" w:ascii="楷体" w:hAnsi="楷体" w:eastAsia="楷体" w:cs="楷体"/>
          <w:kern w:val="0"/>
          <w:sz w:val="32"/>
          <w:szCs w:val="32"/>
          <w:highlight w:val="none"/>
          <w:lang w:val="en-US" w:eastAsia="zh-CN" w:bidi="ar"/>
        </w:rPr>
        <w:t>财政部</w:t>
      </w:r>
      <w:r>
        <w:rPr>
          <w:rFonts w:hint="eastAsia" w:ascii="楷体" w:hAnsi="楷体" w:eastAsia="楷体" w:cs="楷体"/>
          <w:kern w:val="0"/>
          <w:sz w:val="32"/>
          <w:szCs w:val="32"/>
          <w:highlight w:val="none"/>
          <w:lang w:val="en-US" w:eastAsia="zh-CN" w:bidi="ar"/>
        </w:rPr>
        <w:t>就</w:t>
      </w:r>
      <w:r>
        <w:rPr>
          <w:rFonts w:hint="eastAsia" w:ascii="楷体" w:hAnsi="楷体" w:eastAsia="楷体" w:cs="楷体"/>
          <w:kern w:val="0"/>
          <w:sz w:val="32"/>
          <w:szCs w:val="32"/>
          <w:highlight w:val="none"/>
          <w:lang w:bidi="ar"/>
        </w:rPr>
        <w:t>《会计基础工作规范（征求意见稿）》和《填制会计凭证、登记会计账簿操作指南（征求意见稿）》征求意见</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left"/>
        <w:textAlignment w:val="auto"/>
        <w:outlineLvl w:val="9"/>
        <w:rPr>
          <w:rFonts w:hint="eastAsia" w:ascii="仿宋" w:hAnsi="仿宋" w:eastAsia="仿宋" w:cs="仿宋"/>
          <w:kern w:val="0"/>
          <w:sz w:val="32"/>
          <w:szCs w:val="32"/>
          <w:highlight w:val="none"/>
          <w:lang w:eastAsia="zh-CN" w:bidi="ar"/>
        </w:rPr>
      </w:pPr>
      <w:r>
        <w:rPr>
          <w:rFonts w:hint="eastAsia" w:ascii="仿宋" w:hAnsi="仿宋" w:eastAsia="仿宋" w:cs="仿宋"/>
          <w:kern w:val="0"/>
          <w:sz w:val="32"/>
          <w:szCs w:val="32"/>
          <w:highlight w:val="none"/>
          <w:lang w:val="en-US" w:eastAsia="zh-CN" w:bidi="ar"/>
        </w:rPr>
        <w:t>2025年9月5日，</w:t>
      </w:r>
      <w:r>
        <w:rPr>
          <w:rFonts w:hint="eastAsia" w:ascii="仿宋" w:hAnsi="仿宋" w:eastAsia="仿宋" w:cs="仿宋"/>
          <w:kern w:val="0"/>
          <w:sz w:val="32"/>
          <w:szCs w:val="32"/>
          <w:highlight w:val="none"/>
          <w:lang w:bidi="ar"/>
        </w:rPr>
        <w:t>财政部根据2024年征求意见情况修改完善后，再次形成《会计基础工作规范（征求意见稿）》和《填制会计凭证、登记会计账簿操作指南（征求意见稿）》</w:t>
      </w:r>
      <w:r>
        <w:rPr>
          <w:rFonts w:hint="eastAsia" w:ascii="仿宋" w:hAnsi="仿宋" w:eastAsia="仿宋" w:cs="仿宋"/>
          <w:kern w:val="0"/>
          <w:sz w:val="32"/>
          <w:szCs w:val="32"/>
          <w:highlight w:val="none"/>
          <w:lang w:eastAsia="zh-CN" w:bidi="ar"/>
        </w:rPr>
        <w:t>并征求意见。</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left"/>
        <w:textAlignment w:val="auto"/>
        <w:outlineLvl w:val="9"/>
        <w:rPr>
          <w:rFonts w:hint="eastAsia" w:ascii="仿宋" w:hAnsi="仿宋" w:eastAsia="仿宋" w:cs="仿宋"/>
          <w:kern w:val="0"/>
          <w:sz w:val="32"/>
          <w:szCs w:val="32"/>
          <w:highlight w:val="none"/>
          <w:lang w:val="en-US" w:eastAsia="zh-CN" w:bidi="ar"/>
        </w:rPr>
      </w:pPr>
      <w:r>
        <w:rPr>
          <w:rFonts w:hint="eastAsia" w:ascii="仿宋" w:hAnsi="仿宋" w:eastAsia="仿宋" w:cs="仿宋"/>
          <w:kern w:val="0"/>
          <w:sz w:val="32"/>
          <w:szCs w:val="32"/>
          <w:highlight w:val="none"/>
          <w:lang w:bidi="ar"/>
        </w:rPr>
        <w:t>本次修改遵循增强针对性</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bidi="ar"/>
        </w:rPr>
        <w:t>适应性</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bidi="ar"/>
        </w:rPr>
        <w:t>规范性</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bidi="ar"/>
        </w:rPr>
        <w:t>可操作性</w:t>
      </w:r>
      <w:r>
        <w:rPr>
          <w:rFonts w:hint="eastAsia" w:ascii="仿宋" w:hAnsi="仿宋" w:eastAsia="仿宋" w:cs="仿宋"/>
          <w:kern w:val="0"/>
          <w:sz w:val="32"/>
          <w:szCs w:val="32"/>
          <w:highlight w:val="none"/>
          <w:lang w:eastAsia="zh-CN" w:bidi="ar"/>
        </w:rPr>
        <w:t>的原则，</w:t>
      </w:r>
      <w:r>
        <w:rPr>
          <w:rFonts w:hint="eastAsia" w:ascii="仿宋" w:hAnsi="仿宋" w:eastAsia="仿宋" w:cs="仿宋"/>
          <w:kern w:val="0"/>
          <w:sz w:val="32"/>
          <w:szCs w:val="32"/>
          <w:highlight w:val="none"/>
          <w:lang w:bidi="ar"/>
        </w:rPr>
        <w:t>主要作出以下修改：一</w:t>
      </w:r>
      <w:r>
        <w:rPr>
          <w:rFonts w:hint="eastAsia" w:ascii="仿宋" w:hAnsi="仿宋" w:eastAsia="仿宋" w:cs="仿宋"/>
          <w:kern w:val="0"/>
          <w:sz w:val="32"/>
          <w:szCs w:val="32"/>
          <w:highlight w:val="none"/>
          <w:lang w:eastAsia="zh-CN" w:bidi="ar"/>
        </w:rPr>
        <w:t>是</w:t>
      </w:r>
      <w:r>
        <w:rPr>
          <w:rFonts w:hint="eastAsia" w:ascii="仿宋" w:hAnsi="仿宋" w:eastAsia="仿宋" w:cs="仿宋"/>
          <w:kern w:val="0"/>
          <w:sz w:val="32"/>
          <w:szCs w:val="32"/>
          <w:highlight w:val="none"/>
          <w:lang w:bidi="ar"/>
        </w:rPr>
        <w:t>调整框架结构。</w:t>
      </w:r>
      <w:r>
        <w:rPr>
          <w:rFonts w:hint="eastAsia" w:ascii="仿宋" w:hAnsi="仿宋" w:eastAsia="仿宋" w:cs="仿宋"/>
          <w:kern w:val="0"/>
          <w:sz w:val="32"/>
          <w:szCs w:val="32"/>
          <w:highlight w:val="none"/>
          <w:lang w:eastAsia="zh-CN" w:bidi="ar"/>
        </w:rPr>
        <w:t>包括</w:t>
      </w:r>
      <w:r>
        <w:rPr>
          <w:rFonts w:hint="eastAsia" w:ascii="仿宋" w:hAnsi="仿宋" w:eastAsia="仿宋" w:cs="仿宋"/>
          <w:kern w:val="0"/>
          <w:sz w:val="32"/>
          <w:szCs w:val="32"/>
          <w:highlight w:val="none"/>
          <w:lang w:bidi="ar"/>
        </w:rPr>
        <w:t>将第三章“会计核算”的第二节“会计工作交接”单独成章</w:t>
      </w:r>
      <w:r>
        <w:rPr>
          <w:rFonts w:hint="eastAsia" w:ascii="仿宋" w:hAnsi="仿宋" w:eastAsia="仿宋" w:cs="仿宋"/>
          <w:kern w:val="0"/>
          <w:sz w:val="32"/>
          <w:szCs w:val="32"/>
          <w:highlight w:val="none"/>
          <w:lang w:eastAsia="zh-CN" w:bidi="ar"/>
        </w:rPr>
        <w:t>、将</w:t>
      </w:r>
      <w:r>
        <w:rPr>
          <w:rFonts w:hint="eastAsia" w:ascii="仿宋" w:hAnsi="仿宋" w:eastAsia="仿宋" w:cs="仿宋"/>
          <w:kern w:val="0"/>
          <w:sz w:val="32"/>
          <w:szCs w:val="32"/>
          <w:highlight w:val="none"/>
          <w:lang w:bidi="ar"/>
        </w:rPr>
        <w:t>作为附件的《填制会计凭证、登记会计账簿的具体要求》调整为一项单独文件，并将名称修改为《填制会计凭证、登记会计账簿操作指南》</w:t>
      </w:r>
      <w:r>
        <w:rPr>
          <w:rFonts w:hint="eastAsia" w:ascii="仿宋" w:hAnsi="仿宋" w:eastAsia="仿宋" w:cs="仿宋"/>
          <w:kern w:val="0"/>
          <w:sz w:val="32"/>
          <w:szCs w:val="32"/>
          <w:highlight w:val="none"/>
          <w:lang w:eastAsia="zh-CN" w:bidi="ar"/>
        </w:rPr>
        <w:t>等</w:t>
      </w:r>
      <w:r>
        <w:rPr>
          <w:rFonts w:hint="eastAsia" w:ascii="仿宋" w:hAnsi="仿宋" w:eastAsia="仿宋" w:cs="仿宋"/>
          <w:kern w:val="0"/>
          <w:sz w:val="32"/>
          <w:szCs w:val="32"/>
          <w:highlight w:val="none"/>
          <w:lang w:bidi="ar"/>
        </w:rPr>
        <w:t>。二</w:t>
      </w:r>
      <w:r>
        <w:rPr>
          <w:rFonts w:hint="eastAsia" w:ascii="仿宋" w:hAnsi="仿宋" w:eastAsia="仿宋" w:cs="仿宋"/>
          <w:kern w:val="0"/>
          <w:sz w:val="32"/>
          <w:szCs w:val="32"/>
          <w:highlight w:val="none"/>
          <w:lang w:eastAsia="zh-CN" w:bidi="ar"/>
        </w:rPr>
        <w:t>是</w:t>
      </w:r>
      <w:r>
        <w:rPr>
          <w:rFonts w:hint="eastAsia" w:ascii="仿宋" w:hAnsi="仿宋" w:eastAsia="仿宋" w:cs="仿宋"/>
          <w:kern w:val="0"/>
          <w:sz w:val="32"/>
          <w:szCs w:val="32"/>
          <w:highlight w:val="none"/>
          <w:lang w:bidi="ar"/>
        </w:rPr>
        <w:t>增加信息化条件下有关会计工作要求。</w:t>
      </w:r>
      <w:r>
        <w:rPr>
          <w:rFonts w:hint="eastAsia" w:ascii="仿宋" w:hAnsi="仿宋" w:eastAsia="仿宋" w:cs="仿宋"/>
          <w:kern w:val="0"/>
          <w:sz w:val="32"/>
          <w:szCs w:val="32"/>
          <w:highlight w:val="none"/>
          <w:lang w:eastAsia="zh-CN" w:bidi="ar"/>
        </w:rPr>
        <w:t>包括</w:t>
      </w:r>
      <w:r>
        <w:rPr>
          <w:rFonts w:hint="eastAsia" w:ascii="仿宋" w:hAnsi="仿宋" w:eastAsia="仿宋" w:cs="仿宋"/>
          <w:kern w:val="0"/>
          <w:sz w:val="32"/>
          <w:szCs w:val="32"/>
          <w:highlight w:val="none"/>
          <w:lang w:bidi="ar"/>
        </w:rPr>
        <w:t>对会计岗位设置要求中新增的“会计软件管理人员”，明确其职责权限及其不相容岗位</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bidi="ar"/>
        </w:rPr>
        <w:t>在办理工作交接的要求中，增加会计软件数据的交接要求</w:t>
      </w:r>
      <w:r>
        <w:rPr>
          <w:rFonts w:hint="eastAsia" w:ascii="仿宋" w:hAnsi="仿宋" w:eastAsia="仿宋" w:cs="仿宋"/>
          <w:kern w:val="0"/>
          <w:sz w:val="32"/>
          <w:szCs w:val="32"/>
          <w:highlight w:val="none"/>
          <w:lang w:eastAsia="zh-CN" w:bidi="ar"/>
        </w:rPr>
        <w:t>等</w:t>
      </w:r>
      <w:r>
        <w:rPr>
          <w:rFonts w:hint="eastAsia" w:ascii="仿宋" w:hAnsi="仿宋" w:eastAsia="仿宋" w:cs="仿宋"/>
          <w:kern w:val="0"/>
          <w:sz w:val="32"/>
          <w:szCs w:val="32"/>
          <w:highlight w:val="none"/>
          <w:lang w:bidi="ar"/>
        </w:rPr>
        <w:t>。三</w:t>
      </w:r>
      <w:r>
        <w:rPr>
          <w:rFonts w:hint="eastAsia" w:ascii="仿宋" w:hAnsi="仿宋" w:eastAsia="仿宋" w:cs="仿宋"/>
          <w:kern w:val="0"/>
          <w:sz w:val="32"/>
          <w:szCs w:val="32"/>
          <w:highlight w:val="none"/>
          <w:lang w:eastAsia="zh-CN" w:bidi="ar"/>
        </w:rPr>
        <w:t>是</w:t>
      </w:r>
      <w:r>
        <w:rPr>
          <w:rFonts w:hint="eastAsia" w:ascii="仿宋" w:hAnsi="仿宋" w:eastAsia="仿宋" w:cs="仿宋"/>
          <w:kern w:val="0"/>
          <w:sz w:val="32"/>
          <w:szCs w:val="32"/>
          <w:highlight w:val="none"/>
          <w:lang w:bidi="ar"/>
        </w:rPr>
        <w:t>强化会计基础工作中的内部控制要求。</w:t>
      </w:r>
      <w:r>
        <w:rPr>
          <w:rFonts w:hint="eastAsia" w:ascii="仿宋" w:hAnsi="仿宋" w:eastAsia="仿宋" w:cs="仿宋"/>
          <w:kern w:val="0"/>
          <w:sz w:val="32"/>
          <w:szCs w:val="32"/>
          <w:highlight w:val="none"/>
          <w:lang w:eastAsia="zh-CN" w:bidi="ar"/>
        </w:rPr>
        <w:t>包括</w:t>
      </w:r>
      <w:r>
        <w:rPr>
          <w:rFonts w:hint="eastAsia" w:ascii="仿宋" w:hAnsi="仿宋" w:eastAsia="仿宋" w:cs="仿宋"/>
          <w:kern w:val="0"/>
          <w:sz w:val="32"/>
          <w:szCs w:val="32"/>
          <w:highlight w:val="none"/>
          <w:lang w:bidi="ar"/>
        </w:rPr>
        <w:t>在会计岗位设置要求中，增加“不得由出纳一人办理银行对账工作”、“严禁一人办理货币资金全过程业务，严禁一人保管办理资金支付业务的全部印章或密钥”等规定</w:t>
      </w:r>
      <w:r>
        <w:rPr>
          <w:rFonts w:hint="eastAsia" w:ascii="仿宋" w:hAnsi="仿宋" w:eastAsia="仿宋" w:cs="仿宋"/>
          <w:kern w:val="0"/>
          <w:sz w:val="32"/>
          <w:szCs w:val="32"/>
          <w:highlight w:val="none"/>
          <w:lang w:eastAsia="zh-CN" w:bidi="ar"/>
        </w:rPr>
        <w:t>等</w:t>
      </w:r>
      <w:r>
        <w:rPr>
          <w:rFonts w:hint="eastAsia" w:ascii="仿宋" w:hAnsi="仿宋" w:eastAsia="仿宋" w:cs="仿宋"/>
          <w:kern w:val="0"/>
          <w:sz w:val="32"/>
          <w:szCs w:val="32"/>
          <w:highlight w:val="none"/>
          <w:lang w:bidi="ar"/>
        </w:rPr>
        <w:t>。四</w:t>
      </w:r>
      <w:r>
        <w:rPr>
          <w:rFonts w:hint="eastAsia" w:ascii="仿宋" w:hAnsi="仿宋" w:eastAsia="仿宋" w:cs="仿宋"/>
          <w:kern w:val="0"/>
          <w:sz w:val="32"/>
          <w:szCs w:val="32"/>
          <w:highlight w:val="none"/>
          <w:lang w:eastAsia="zh-CN" w:bidi="ar"/>
        </w:rPr>
        <w:t>是</w:t>
      </w:r>
      <w:r>
        <w:rPr>
          <w:rFonts w:hint="eastAsia" w:ascii="仿宋" w:hAnsi="仿宋" w:eastAsia="仿宋" w:cs="仿宋"/>
          <w:kern w:val="0"/>
          <w:sz w:val="32"/>
          <w:szCs w:val="32"/>
          <w:highlight w:val="none"/>
          <w:lang w:bidi="ar"/>
        </w:rPr>
        <w:t>完善会计人员实行会计监督的有关职责权限。根据会计法中关于会计机构、会计人员对单位经济业务事项进行会计监督的有关要求，对会计机构、会计人员实行会计监督的职责权限进行修改完善。</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楷体" w:hAnsi="楷体" w:eastAsia="楷体" w:cs="楷体"/>
          <w:kern w:val="0"/>
          <w:sz w:val="32"/>
          <w:szCs w:val="32"/>
          <w:highlight w:val="none"/>
          <w:lang w:val="en-US" w:eastAsia="zh-CN" w:bidi="ar"/>
        </w:rPr>
      </w:pPr>
      <w:r>
        <w:rPr>
          <w:rFonts w:hint="eastAsia" w:ascii="楷体" w:hAnsi="楷体" w:eastAsia="楷体" w:cs="楷体"/>
          <w:kern w:val="0"/>
          <w:sz w:val="32"/>
          <w:szCs w:val="32"/>
          <w:highlight w:val="none"/>
          <w:lang w:val="en-US" w:eastAsia="zh-CN" w:bidi="ar"/>
        </w:rPr>
        <w:t>4．</w:t>
      </w:r>
      <w:r>
        <w:rPr>
          <w:rFonts w:hint="default" w:ascii="楷体" w:hAnsi="楷体" w:eastAsia="楷体" w:cs="楷体"/>
          <w:kern w:val="0"/>
          <w:sz w:val="32"/>
          <w:szCs w:val="32"/>
          <w:highlight w:val="none"/>
          <w:lang w:val="en-US" w:eastAsia="zh-CN" w:bidi="ar"/>
        </w:rPr>
        <w:t>财政部</w:t>
      </w:r>
      <w:r>
        <w:rPr>
          <w:rFonts w:hint="default" w:ascii="楷体" w:hAnsi="楷体" w:eastAsia="楷体" w:cs="楷体"/>
          <w:kern w:val="0"/>
          <w:sz w:val="32"/>
          <w:szCs w:val="32"/>
          <w:highlight w:val="none"/>
          <w:lang w:bidi="ar"/>
        </w:rPr>
        <w:t>、</w:t>
      </w:r>
      <w:r>
        <w:rPr>
          <w:rFonts w:hint="eastAsia" w:ascii="楷体" w:hAnsi="楷体" w:eastAsia="楷体" w:cs="楷体"/>
          <w:kern w:val="0"/>
          <w:sz w:val="32"/>
          <w:szCs w:val="32"/>
          <w:highlight w:val="none"/>
          <w:lang w:eastAsia="zh-CN" w:bidi="ar"/>
        </w:rPr>
        <w:t>中国</w:t>
      </w:r>
      <w:r>
        <w:rPr>
          <w:rFonts w:hint="default" w:ascii="楷体" w:hAnsi="楷体" w:eastAsia="楷体" w:cs="楷体"/>
          <w:kern w:val="0"/>
          <w:sz w:val="32"/>
          <w:szCs w:val="32"/>
          <w:highlight w:val="none"/>
          <w:lang w:bidi="ar"/>
        </w:rPr>
        <w:t>证监会</w:t>
      </w:r>
      <w:r>
        <w:rPr>
          <w:rFonts w:hint="eastAsia" w:ascii="楷体" w:hAnsi="楷体" w:eastAsia="楷体" w:cs="楷体"/>
          <w:kern w:val="0"/>
          <w:sz w:val="32"/>
          <w:szCs w:val="32"/>
          <w:highlight w:val="none"/>
          <w:lang w:eastAsia="zh-CN" w:bidi="ar"/>
        </w:rPr>
        <w:t>等</w:t>
      </w:r>
      <w:r>
        <w:rPr>
          <w:rFonts w:hint="eastAsia" w:ascii="楷体" w:hAnsi="楷体" w:eastAsia="楷体" w:cs="楷体"/>
          <w:kern w:val="0"/>
          <w:sz w:val="32"/>
          <w:szCs w:val="32"/>
          <w:highlight w:val="none"/>
          <w:lang w:val="en-US" w:eastAsia="zh-CN" w:bidi="ar"/>
        </w:rPr>
        <w:t>发布</w:t>
      </w:r>
      <w:r>
        <w:rPr>
          <w:rFonts w:hint="default" w:ascii="楷体" w:hAnsi="楷体" w:eastAsia="楷体" w:cs="楷体"/>
          <w:kern w:val="0"/>
          <w:sz w:val="32"/>
          <w:szCs w:val="32"/>
          <w:highlight w:val="none"/>
          <w:lang w:bidi="ar"/>
        </w:rPr>
        <w:t>《〈企业可持续披露准则——基本准则（试行）〉应用指南》</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仿宋" w:hAnsi="仿宋" w:eastAsia="仿宋" w:cs="仿宋"/>
          <w:kern w:val="0"/>
          <w:sz w:val="32"/>
          <w:szCs w:val="32"/>
          <w:highlight w:val="none"/>
          <w:lang w:val="en-US" w:eastAsia="zh-CN" w:bidi="ar"/>
        </w:rPr>
      </w:pPr>
      <w:r>
        <w:rPr>
          <w:rFonts w:hint="default" w:ascii="仿宋" w:hAnsi="仿宋" w:eastAsia="仿宋" w:cs="仿宋"/>
          <w:kern w:val="0"/>
          <w:sz w:val="32"/>
          <w:szCs w:val="32"/>
          <w:highlight w:val="none"/>
          <w:lang w:bidi="ar"/>
        </w:rPr>
        <w:t>2025年9月15日</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bidi="ar"/>
        </w:rPr>
        <w:t>根据《企业可持续披露准则——基本准则（试行）》（财会〔2024〕17号），</w:t>
      </w:r>
      <w:r>
        <w:rPr>
          <w:rFonts w:hint="default" w:ascii="仿宋" w:hAnsi="仿宋" w:eastAsia="仿宋" w:cs="仿宋"/>
          <w:kern w:val="0"/>
          <w:sz w:val="32"/>
          <w:szCs w:val="32"/>
          <w:highlight w:val="none"/>
          <w:lang w:val="en-US" w:eastAsia="zh-CN" w:bidi="ar"/>
        </w:rPr>
        <w:t>财政部会同证监会</w:t>
      </w:r>
      <w:r>
        <w:rPr>
          <w:rFonts w:hint="eastAsia" w:ascii="仿宋" w:hAnsi="仿宋" w:eastAsia="仿宋" w:cs="仿宋"/>
          <w:kern w:val="0"/>
          <w:sz w:val="32"/>
          <w:szCs w:val="32"/>
          <w:highlight w:val="none"/>
          <w:lang w:val="en-US" w:eastAsia="zh-CN" w:bidi="ar"/>
        </w:rPr>
        <w:t>等</w:t>
      </w:r>
      <w:r>
        <w:rPr>
          <w:rFonts w:hint="default" w:ascii="仿宋" w:hAnsi="仿宋" w:eastAsia="仿宋" w:cs="仿宋"/>
          <w:kern w:val="0"/>
          <w:sz w:val="32"/>
          <w:szCs w:val="32"/>
          <w:highlight w:val="none"/>
          <w:lang w:val="en-US" w:eastAsia="zh-CN" w:bidi="ar"/>
        </w:rPr>
        <w:t>研究制定</w:t>
      </w:r>
      <w:r>
        <w:rPr>
          <w:rFonts w:hint="eastAsia" w:ascii="仿宋" w:hAnsi="仿宋" w:eastAsia="仿宋" w:cs="仿宋"/>
          <w:kern w:val="0"/>
          <w:sz w:val="32"/>
          <w:szCs w:val="32"/>
          <w:highlight w:val="none"/>
          <w:lang w:val="en-US" w:eastAsia="zh-CN" w:bidi="ar"/>
        </w:rPr>
        <w:t>并发布</w:t>
      </w:r>
      <w:r>
        <w:rPr>
          <w:rFonts w:hint="default" w:ascii="仿宋" w:hAnsi="仿宋" w:eastAsia="仿宋" w:cs="仿宋"/>
          <w:kern w:val="0"/>
          <w:sz w:val="32"/>
          <w:szCs w:val="32"/>
          <w:highlight w:val="none"/>
          <w:lang w:val="en-US" w:eastAsia="zh-CN" w:bidi="ar"/>
        </w:rPr>
        <w:t>《〈企业可持续披露准则——基本准则（试行）〉应用指南》</w:t>
      </w:r>
      <w:r>
        <w:rPr>
          <w:rFonts w:hint="eastAsia" w:ascii="仿宋" w:hAnsi="仿宋" w:eastAsia="仿宋" w:cs="仿宋"/>
          <w:kern w:val="0"/>
          <w:sz w:val="32"/>
          <w:szCs w:val="32"/>
          <w:highlight w:val="none"/>
          <w:lang w:val="en-US" w:eastAsia="zh-CN" w:bidi="ar"/>
        </w:rPr>
        <w:t>（以下简称《</w:t>
      </w:r>
      <w:r>
        <w:rPr>
          <w:rFonts w:hint="default" w:ascii="仿宋" w:hAnsi="仿宋" w:eastAsia="仿宋" w:cs="仿宋"/>
          <w:kern w:val="0"/>
          <w:sz w:val="32"/>
          <w:szCs w:val="32"/>
          <w:highlight w:val="none"/>
          <w:lang w:val="en-US" w:eastAsia="zh-CN" w:bidi="ar"/>
        </w:rPr>
        <w:t>应用指南</w:t>
      </w:r>
      <w:r>
        <w:rPr>
          <w:rFonts w:hint="eastAsia" w:ascii="仿宋" w:hAnsi="仿宋" w:eastAsia="仿宋" w:cs="仿宋"/>
          <w:kern w:val="0"/>
          <w:sz w:val="32"/>
          <w:szCs w:val="32"/>
          <w:highlight w:val="none"/>
          <w:lang w:val="en-US" w:eastAsia="zh-CN" w:bidi="ar"/>
        </w:rPr>
        <w:t>》）。《</w:t>
      </w:r>
      <w:r>
        <w:rPr>
          <w:rFonts w:hint="default" w:ascii="仿宋" w:hAnsi="仿宋" w:eastAsia="仿宋" w:cs="仿宋"/>
          <w:kern w:val="0"/>
          <w:sz w:val="32"/>
          <w:szCs w:val="32"/>
          <w:highlight w:val="none"/>
          <w:lang w:val="en-US" w:eastAsia="zh-CN" w:bidi="ar"/>
        </w:rPr>
        <w:t>应用指南</w:t>
      </w:r>
      <w:r>
        <w:rPr>
          <w:rFonts w:hint="eastAsia" w:ascii="仿宋" w:hAnsi="仿宋" w:eastAsia="仿宋" w:cs="仿宋"/>
          <w:kern w:val="0"/>
          <w:sz w:val="32"/>
          <w:szCs w:val="32"/>
          <w:highlight w:val="none"/>
          <w:lang w:val="en-US" w:eastAsia="zh-CN" w:bidi="ar"/>
        </w:rPr>
        <w:t>》</w:t>
      </w:r>
      <w:r>
        <w:rPr>
          <w:rFonts w:hint="eastAsia" w:ascii="仿宋" w:hAnsi="仿宋" w:eastAsia="仿宋" w:cs="仿宋"/>
          <w:kern w:val="0"/>
          <w:sz w:val="32"/>
          <w:szCs w:val="32"/>
          <w:highlight w:val="none"/>
          <w:lang w:bidi="ar"/>
        </w:rPr>
        <w:t>对基本准则和具体准则进行解释、细化</w:t>
      </w:r>
      <w:r>
        <w:rPr>
          <w:rFonts w:hint="eastAsia" w:ascii="仿宋" w:hAnsi="仿宋" w:eastAsia="仿宋" w:cs="仿宋"/>
          <w:kern w:val="0"/>
          <w:sz w:val="32"/>
          <w:szCs w:val="32"/>
          <w:highlight w:val="none"/>
          <w:lang w:eastAsia="zh-CN" w:bidi="ar"/>
        </w:rPr>
        <w:t>及</w:t>
      </w:r>
      <w:r>
        <w:rPr>
          <w:rFonts w:hint="eastAsia" w:ascii="仿宋" w:hAnsi="仿宋" w:eastAsia="仿宋" w:cs="仿宋"/>
          <w:kern w:val="0"/>
          <w:sz w:val="32"/>
          <w:szCs w:val="32"/>
          <w:highlight w:val="none"/>
          <w:lang w:bidi="ar"/>
        </w:rPr>
        <w:t>示例，</w:t>
      </w:r>
      <w:r>
        <w:rPr>
          <w:rFonts w:hint="eastAsia" w:ascii="仿宋" w:hAnsi="仿宋" w:eastAsia="仿宋" w:cs="仿宋"/>
          <w:kern w:val="0"/>
          <w:sz w:val="32"/>
          <w:szCs w:val="32"/>
          <w:highlight w:val="none"/>
          <w:lang w:eastAsia="zh-CN" w:bidi="ar"/>
        </w:rPr>
        <w:t>并</w:t>
      </w:r>
      <w:r>
        <w:rPr>
          <w:rFonts w:hint="eastAsia" w:ascii="仿宋" w:hAnsi="仿宋" w:eastAsia="仿宋" w:cs="仿宋"/>
          <w:kern w:val="0"/>
          <w:sz w:val="32"/>
          <w:szCs w:val="32"/>
          <w:highlight w:val="none"/>
          <w:lang w:bidi="ar"/>
        </w:rPr>
        <w:t>对重点难点问题进行操作性规定。</w:t>
      </w:r>
      <w:r>
        <w:rPr>
          <w:rFonts w:hint="eastAsia" w:ascii="仿宋" w:hAnsi="仿宋" w:eastAsia="仿宋" w:cs="仿宋"/>
          <w:kern w:val="0"/>
          <w:sz w:val="32"/>
          <w:szCs w:val="32"/>
          <w:highlight w:val="none"/>
          <w:lang w:eastAsia="zh-CN" w:bidi="ar"/>
        </w:rPr>
        <w:t>主要内容包括价值链范围确定的原则，价值链中风险、机遇和影响范围的重新评估，可持续信息与财务报表的关联，可持续信息使用者和其他利益相关方，重要性评估整体流程，相称性原则，可持续风险和机遇的当期和预期财务影响，企业的战略和业务模式对可持续风险的韧性，以及可持续影响信息披露等。</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eastAsia" w:ascii="楷体" w:hAnsi="楷体" w:eastAsia="楷体" w:cs="楷体"/>
          <w:kern w:val="0"/>
          <w:sz w:val="32"/>
          <w:szCs w:val="32"/>
          <w:highlight w:val="none"/>
          <w:shd w:val="clear" w:color="auto" w:fill="auto"/>
          <w:lang w:val="en-US" w:eastAsia="zh-CN" w:bidi="ar"/>
        </w:rPr>
      </w:pPr>
      <w:r>
        <w:rPr>
          <w:rFonts w:hint="eastAsia" w:ascii="楷体" w:hAnsi="楷体" w:eastAsia="楷体" w:cs="楷体"/>
          <w:kern w:val="0"/>
          <w:sz w:val="32"/>
          <w:szCs w:val="32"/>
          <w:highlight w:val="none"/>
          <w:shd w:val="clear" w:color="auto" w:fill="auto"/>
          <w:lang w:val="en-US" w:eastAsia="zh-CN" w:bidi="ar"/>
        </w:rPr>
        <w:t>5．财政部、</w:t>
      </w:r>
      <w:r>
        <w:rPr>
          <w:rFonts w:hint="eastAsia" w:ascii="楷体" w:hAnsi="楷体" w:eastAsia="楷体" w:cs="楷体"/>
          <w:kern w:val="0"/>
          <w:sz w:val="32"/>
          <w:szCs w:val="32"/>
          <w:highlight w:val="none"/>
          <w:shd w:val="clear" w:color="auto" w:fill="auto"/>
          <w:lang w:bidi="ar"/>
        </w:rPr>
        <w:t>中国人民银行</w:t>
      </w:r>
      <w:r>
        <w:rPr>
          <w:rFonts w:hint="eastAsia" w:ascii="楷体" w:hAnsi="楷体" w:eastAsia="楷体" w:cs="楷体"/>
          <w:kern w:val="0"/>
          <w:sz w:val="32"/>
          <w:szCs w:val="32"/>
          <w:highlight w:val="none"/>
          <w:shd w:val="clear" w:color="auto" w:fill="auto"/>
          <w:lang w:val="en-US" w:eastAsia="zh-CN" w:bidi="ar"/>
        </w:rPr>
        <w:t>发布《会计师事务所反洗钱工作管理办法》</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 w:hAnsi="仿宋" w:eastAsia="仿宋" w:cs="仿宋"/>
          <w:kern w:val="0"/>
          <w:sz w:val="32"/>
          <w:szCs w:val="32"/>
          <w:highlight w:val="none"/>
          <w:shd w:val="clear" w:color="auto" w:fill="auto"/>
          <w:lang w:bidi="ar"/>
        </w:rPr>
      </w:pPr>
      <w:r>
        <w:rPr>
          <w:rFonts w:hint="eastAsia" w:ascii="仿宋" w:hAnsi="仿宋" w:eastAsia="仿宋" w:cs="仿宋"/>
          <w:kern w:val="0"/>
          <w:sz w:val="32"/>
          <w:szCs w:val="32"/>
          <w:highlight w:val="none"/>
          <w:shd w:val="clear" w:color="auto" w:fill="auto"/>
          <w:lang w:val="en-US" w:eastAsia="zh-CN" w:bidi="ar"/>
        </w:rPr>
        <w:t>2025年9月15日，</w:t>
      </w:r>
      <w:r>
        <w:rPr>
          <w:rFonts w:hint="eastAsia" w:ascii="仿宋" w:hAnsi="仿宋" w:eastAsia="仿宋" w:cs="仿宋"/>
          <w:kern w:val="0"/>
          <w:sz w:val="32"/>
          <w:szCs w:val="32"/>
          <w:highlight w:val="none"/>
          <w:shd w:val="clear" w:color="auto" w:fill="auto"/>
          <w:lang w:bidi="ar"/>
        </w:rPr>
        <w:t>为加强和规范会计师事务所依法履行反洗钱义务，根据《中华人民共和国反洗钱法》等有关规定，</w:t>
      </w:r>
      <w:r>
        <w:rPr>
          <w:rFonts w:hint="eastAsia" w:ascii="仿宋" w:hAnsi="仿宋" w:eastAsia="仿宋" w:cs="仿宋"/>
          <w:kern w:val="0"/>
          <w:sz w:val="32"/>
          <w:szCs w:val="32"/>
          <w:highlight w:val="none"/>
          <w:shd w:val="clear" w:color="auto" w:fill="auto"/>
          <w:lang w:val="en-US" w:eastAsia="zh-CN" w:bidi="ar"/>
        </w:rPr>
        <w:t>财政部、</w:t>
      </w:r>
      <w:r>
        <w:rPr>
          <w:rFonts w:hint="eastAsia" w:ascii="仿宋" w:hAnsi="仿宋" w:eastAsia="仿宋" w:cs="仿宋"/>
          <w:kern w:val="0"/>
          <w:sz w:val="32"/>
          <w:szCs w:val="32"/>
          <w:highlight w:val="none"/>
          <w:shd w:val="clear" w:color="auto" w:fill="auto"/>
          <w:lang w:bidi="ar"/>
        </w:rPr>
        <w:t>中国人民银行制定</w:t>
      </w:r>
      <w:r>
        <w:rPr>
          <w:rFonts w:hint="eastAsia" w:ascii="仿宋" w:hAnsi="仿宋" w:eastAsia="仿宋" w:cs="仿宋"/>
          <w:kern w:val="0"/>
          <w:sz w:val="32"/>
          <w:szCs w:val="32"/>
          <w:highlight w:val="none"/>
          <w:shd w:val="clear" w:color="auto" w:fill="auto"/>
          <w:lang w:eastAsia="zh-CN" w:bidi="ar"/>
        </w:rPr>
        <w:t>并发布</w:t>
      </w:r>
      <w:r>
        <w:rPr>
          <w:rFonts w:hint="eastAsia" w:ascii="仿宋" w:hAnsi="仿宋" w:eastAsia="仿宋" w:cs="仿宋"/>
          <w:kern w:val="0"/>
          <w:sz w:val="32"/>
          <w:szCs w:val="32"/>
          <w:highlight w:val="none"/>
          <w:shd w:val="clear" w:color="auto" w:fill="auto"/>
          <w:lang w:bidi="ar"/>
        </w:rPr>
        <w:t>《会计师事务所反洗钱工作管理办法》</w:t>
      </w:r>
      <w:r>
        <w:rPr>
          <w:rFonts w:hint="eastAsia" w:ascii="仿宋" w:hAnsi="仿宋" w:eastAsia="仿宋" w:cs="仿宋"/>
          <w:kern w:val="0"/>
          <w:sz w:val="32"/>
          <w:szCs w:val="32"/>
          <w:highlight w:val="none"/>
          <w:shd w:val="clear" w:color="auto" w:fill="auto"/>
          <w:lang w:val="en-US" w:eastAsia="zh-CN" w:bidi="ar"/>
        </w:rPr>
        <w:t>。</w:t>
      </w:r>
      <w:r>
        <w:rPr>
          <w:rFonts w:hint="eastAsia" w:ascii="仿宋" w:hAnsi="仿宋" w:eastAsia="仿宋" w:cs="仿宋"/>
          <w:kern w:val="0"/>
          <w:sz w:val="32"/>
          <w:szCs w:val="32"/>
          <w:highlight w:val="none"/>
          <w:shd w:val="clear" w:color="auto" w:fill="auto"/>
          <w:lang w:bidi="ar"/>
        </w:rPr>
        <w:t>主要内容</w:t>
      </w:r>
      <w:r>
        <w:rPr>
          <w:rFonts w:hint="eastAsia" w:ascii="仿宋" w:hAnsi="仿宋" w:eastAsia="仿宋" w:cs="仿宋"/>
          <w:kern w:val="0"/>
          <w:sz w:val="32"/>
          <w:szCs w:val="32"/>
          <w:highlight w:val="none"/>
          <w:shd w:val="clear" w:color="auto" w:fill="auto"/>
          <w:lang w:eastAsia="zh-CN" w:bidi="ar"/>
        </w:rPr>
        <w:t>如下</w:t>
      </w:r>
      <w:r>
        <w:rPr>
          <w:rFonts w:hint="eastAsia" w:ascii="仿宋" w:hAnsi="仿宋" w:eastAsia="仿宋" w:cs="仿宋"/>
          <w:kern w:val="0"/>
          <w:sz w:val="32"/>
          <w:szCs w:val="32"/>
          <w:highlight w:val="none"/>
          <w:shd w:val="clear" w:color="auto" w:fill="auto"/>
          <w:lang w:bidi="ar"/>
        </w:rPr>
        <w:t>：一是反洗钱义务</w:t>
      </w:r>
      <w:r>
        <w:rPr>
          <w:rFonts w:hint="eastAsia" w:ascii="仿宋" w:hAnsi="仿宋" w:eastAsia="仿宋" w:cs="仿宋"/>
          <w:kern w:val="0"/>
          <w:sz w:val="32"/>
          <w:szCs w:val="32"/>
          <w:highlight w:val="none"/>
          <w:shd w:val="clear" w:color="auto" w:fill="auto"/>
          <w:lang w:eastAsia="zh-CN" w:bidi="ar"/>
        </w:rPr>
        <w:t>，包括会计师事务所应当建立健全与本所风险状况相适应的反洗钱内部控制制度、</w:t>
      </w:r>
      <w:r>
        <w:rPr>
          <w:rFonts w:hint="eastAsia" w:ascii="仿宋" w:hAnsi="仿宋" w:eastAsia="仿宋" w:cs="仿宋"/>
          <w:kern w:val="0"/>
          <w:sz w:val="32"/>
          <w:szCs w:val="32"/>
          <w:highlight w:val="none"/>
          <w:shd w:val="clear" w:color="auto" w:fill="auto"/>
          <w:lang w:bidi="ar"/>
        </w:rPr>
        <w:t>在与客户业务关系存续期间，会计师事务所应当持续关注并评估客户整体状况、业务情况及洗钱风险，开展持续性的客户尽职调查</w:t>
      </w:r>
      <w:r>
        <w:rPr>
          <w:rFonts w:hint="eastAsia" w:ascii="仿宋" w:hAnsi="仿宋" w:eastAsia="仿宋" w:cs="仿宋"/>
          <w:kern w:val="0"/>
          <w:sz w:val="32"/>
          <w:szCs w:val="32"/>
          <w:highlight w:val="none"/>
          <w:shd w:val="clear" w:color="auto" w:fill="auto"/>
          <w:lang w:eastAsia="zh-CN" w:bidi="ar"/>
        </w:rPr>
        <w:t>等。二是</w:t>
      </w:r>
      <w:r>
        <w:rPr>
          <w:rFonts w:hint="eastAsia" w:ascii="仿宋" w:hAnsi="仿宋" w:eastAsia="仿宋" w:cs="仿宋"/>
          <w:kern w:val="0"/>
          <w:sz w:val="32"/>
          <w:szCs w:val="32"/>
          <w:highlight w:val="none"/>
          <w:shd w:val="clear" w:color="auto" w:fill="auto"/>
          <w:lang w:bidi="ar"/>
        </w:rPr>
        <w:t>监督管理</w:t>
      </w:r>
      <w:r>
        <w:rPr>
          <w:rFonts w:hint="eastAsia" w:ascii="仿宋" w:hAnsi="仿宋" w:eastAsia="仿宋" w:cs="仿宋"/>
          <w:kern w:val="0"/>
          <w:sz w:val="32"/>
          <w:szCs w:val="32"/>
          <w:highlight w:val="none"/>
          <w:shd w:val="clear" w:color="auto" w:fill="auto"/>
          <w:lang w:eastAsia="zh-CN" w:bidi="ar"/>
        </w:rPr>
        <w:t>，包括</w:t>
      </w:r>
      <w:r>
        <w:rPr>
          <w:rFonts w:hint="eastAsia" w:ascii="仿宋" w:hAnsi="仿宋" w:eastAsia="仿宋" w:cs="仿宋"/>
          <w:kern w:val="0"/>
          <w:sz w:val="32"/>
          <w:szCs w:val="32"/>
          <w:highlight w:val="none"/>
          <w:shd w:val="clear" w:color="auto" w:fill="auto"/>
          <w:lang w:bidi="ar"/>
        </w:rPr>
        <w:t>省级以上财政部门依法对会计师事务所履行反洗钱义务的情况进行监督检查</w:t>
      </w:r>
      <w:r>
        <w:rPr>
          <w:rFonts w:hint="eastAsia" w:ascii="仿宋" w:hAnsi="仿宋" w:eastAsia="仿宋" w:cs="仿宋"/>
          <w:kern w:val="0"/>
          <w:sz w:val="32"/>
          <w:szCs w:val="32"/>
          <w:highlight w:val="none"/>
          <w:shd w:val="clear" w:color="auto" w:fill="auto"/>
          <w:lang w:eastAsia="zh-CN" w:bidi="ar"/>
        </w:rPr>
        <w:t>、</w:t>
      </w:r>
      <w:r>
        <w:rPr>
          <w:rFonts w:hint="eastAsia" w:ascii="仿宋" w:hAnsi="仿宋" w:eastAsia="仿宋" w:cs="仿宋"/>
          <w:kern w:val="0"/>
          <w:sz w:val="32"/>
          <w:szCs w:val="32"/>
          <w:highlight w:val="none"/>
          <w:shd w:val="clear" w:color="auto" w:fill="auto"/>
          <w:lang w:bidi="ar"/>
        </w:rPr>
        <w:t>各级注册会计师协会在财政部门、反洗钱行政主管部门的指导下，对会计师事务所履行反洗钱义务情况开展自律管理</w:t>
      </w:r>
      <w:r>
        <w:rPr>
          <w:rFonts w:hint="eastAsia" w:ascii="仿宋" w:hAnsi="仿宋" w:eastAsia="仿宋" w:cs="仿宋"/>
          <w:kern w:val="0"/>
          <w:sz w:val="32"/>
          <w:szCs w:val="32"/>
          <w:highlight w:val="none"/>
          <w:shd w:val="clear" w:color="auto" w:fill="auto"/>
          <w:lang w:eastAsia="zh-CN" w:bidi="ar"/>
        </w:rPr>
        <w:t>等。三是</w:t>
      </w:r>
      <w:r>
        <w:rPr>
          <w:rFonts w:hint="eastAsia" w:ascii="仿宋" w:hAnsi="仿宋" w:eastAsia="仿宋" w:cs="仿宋"/>
          <w:kern w:val="0"/>
          <w:sz w:val="32"/>
          <w:szCs w:val="32"/>
          <w:highlight w:val="none"/>
          <w:shd w:val="clear" w:color="auto" w:fill="auto"/>
          <w:lang w:bidi="ar"/>
        </w:rPr>
        <w:t>法律责任</w:t>
      </w:r>
      <w:r>
        <w:rPr>
          <w:rFonts w:hint="eastAsia" w:ascii="仿宋" w:hAnsi="仿宋" w:eastAsia="仿宋" w:cs="仿宋"/>
          <w:kern w:val="0"/>
          <w:sz w:val="32"/>
          <w:szCs w:val="32"/>
          <w:highlight w:val="none"/>
          <w:shd w:val="clear" w:color="auto" w:fill="auto"/>
          <w:lang w:eastAsia="zh-CN" w:bidi="ar"/>
        </w:rPr>
        <w:t>，包括</w:t>
      </w:r>
      <w:r>
        <w:rPr>
          <w:rFonts w:hint="eastAsia" w:ascii="仿宋" w:hAnsi="仿宋" w:eastAsia="仿宋" w:cs="仿宋"/>
          <w:kern w:val="0"/>
          <w:sz w:val="32"/>
          <w:szCs w:val="32"/>
          <w:highlight w:val="none"/>
          <w:shd w:val="clear" w:color="auto" w:fill="auto"/>
          <w:lang w:bidi="ar"/>
        </w:rPr>
        <w:t>会计师事务所违反反洗钱法和本办法规定的，按照反洗钱法第五十八条的规定予以处罚；构成犯罪的，依法追究刑事责任</w:t>
      </w:r>
      <w:r>
        <w:rPr>
          <w:rFonts w:hint="eastAsia" w:ascii="仿宋" w:hAnsi="仿宋" w:eastAsia="仿宋" w:cs="仿宋"/>
          <w:kern w:val="0"/>
          <w:sz w:val="32"/>
          <w:szCs w:val="32"/>
          <w:highlight w:val="none"/>
          <w:shd w:val="clear" w:color="auto" w:fill="auto"/>
          <w:lang w:eastAsia="zh-CN" w:bidi="ar"/>
        </w:rPr>
        <w:t>等</w:t>
      </w:r>
      <w:r>
        <w:rPr>
          <w:rFonts w:hint="eastAsia" w:ascii="仿宋" w:hAnsi="仿宋" w:eastAsia="仿宋" w:cs="仿宋"/>
          <w:kern w:val="0"/>
          <w:sz w:val="32"/>
          <w:szCs w:val="32"/>
          <w:highlight w:val="none"/>
          <w:shd w:val="clear" w:color="auto" w:fill="auto"/>
          <w:lang w:bidi="ar"/>
        </w:rPr>
        <w:t>。</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bidi="ar"/>
        </w:rPr>
      </w:pPr>
      <w:r>
        <w:rPr>
          <w:rFonts w:hint="eastAsia" w:ascii="黑体" w:hAnsi="黑体" w:eastAsia="黑体" w:cs="黑体"/>
          <w:kern w:val="0"/>
          <w:sz w:val="32"/>
          <w:szCs w:val="32"/>
          <w:highlight w:val="none"/>
          <w:lang w:val="en-US" w:eastAsia="zh-CN" w:bidi="ar"/>
        </w:rPr>
        <w:t>（二）证监会系统会计审计政策资讯</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楷体" w:hAnsi="楷体" w:eastAsia="楷体" w:cs="楷体"/>
          <w:kern w:val="0"/>
          <w:sz w:val="32"/>
          <w:szCs w:val="32"/>
          <w:highlight w:val="none"/>
          <w:lang w:val="en-US" w:eastAsia="zh-CN" w:bidi="ar"/>
        </w:rPr>
      </w:pPr>
      <w:r>
        <w:rPr>
          <w:rFonts w:hint="eastAsia" w:ascii="楷体" w:hAnsi="楷体" w:eastAsia="楷体" w:cs="楷体"/>
          <w:kern w:val="0"/>
          <w:sz w:val="32"/>
          <w:szCs w:val="32"/>
          <w:highlight w:val="none"/>
          <w:lang w:val="en-US" w:eastAsia="zh-CN" w:bidi="ar"/>
        </w:rPr>
        <w:t>1．中国证监会发布《</w:t>
      </w:r>
      <w:r>
        <w:rPr>
          <w:rFonts w:hint="eastAsia" w:ascii="楷体" w:hAnsi="楷体" w:eastAsia="楷体" w:cs="楷体"/>
          <w:kern w:val="0"/>
          <w:sz w:val="32"/>
          <w:szCs w:val="32"/>
          <w:highlight w:val="none"/>
          <w:lang w:bidi="ar"/>
        </w:rPr>
        <w:t>上市公司2024年年度财务报告会计监管报告</w:t>
      </w:r>
      <w:r>
        <w:rPr>
          <w:rFonts w:hint="eastAsia" w:ascii="楷体" w:hAnsi="楷体" w:eastAsia="楷体" w:cs="楷体"/>
          <w:kern w:val="0"/>
          <w:sz w:val="32"/>
          <w:szCs w:val="32"/>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 w:hAnsi="仿宋" w:eastAsia="仿宋" w:cs="仿宋"/>
          <w:kern w:val="0"/>
          <w:sz w:val="32"/>
          <w:szCs w:val="32"/>
          <w:highlight w:val="none"/>
          <w:lang w:bidi="ar"/>
        </w:rPr>
      </w:pPr>
      <w:r>
        <w:rPr>
          <w:rFonts w:hint="eastAsia" w:ascii="仿宋" w:hAnsi="仿宋" w:eastAsia="仿宋" w:cs="仿宋"/>
          <w:kern w:val="0"/>
          <w:sz w:val="32"/>
          <w:szCs w:val="32"/>
          <w:highlight w:val="none"/>
          <w:lang w:val="en-US" w:eastAsia="zh-CN" w:bidi="ar"/>
        </w:rPr>
        <w:t>2025年8</w:t>
      </w:r>
      <w:r>
        <w:rPr>
          <w:rFonts w:hint="default" w:ascii="仿宋" w:hAnsi="仿宋" w:eastAsia="仿宋" w:cs="仿宋"/>
          <w:kern w:val="0"/>
          <w:sz w:val="32"/>
          <w:szCs w:val="32"/>
          <w:highlight w:val="none"/>
          <w:lang w:val="en-US" w:eastAsia="zh-CN" w:bidi="ar"/>
        </w:rPr>
        <w:t>月</w:t>
      </w:r>
      <w:r>
        <w:rPr>
          <w:rFonts w:hint="eastAsia" w:ascii="仿宋" w:hAnsi="仿宋" w:eastAsia="仿宋" w:cs="仿宋"/>
          <w:kern w:val="0"/>
          <w:sz w:val="32"/>
          <w:szCs w:val="32"/>
          <w:highlight w:val="none"/>
          <w:lang w:val="en-US" w:eastAsia="zh-CN" w:bidi="ar"/>
        </w:rPr>
        <w:t>15</w:t>
      </w:r>
      <w:r>
        <w:rPr>
          <w:rFonts w:hint="default" w:ascii="仿宋" w:hAnsi="仿宋" w:eastAsia="仿宋" w:cs="仿宋"/>
          <w:kern w:val="0"/>
          <w:sz w:val="32"/>
          <w:szCs w:val="32"/>
          <w:highlight w:val="none"/>
          <w:lang w:val="en-US" w:eastAsia="zh-CN" w:bidi="ar"/>
        </w:rPr>
        <w:t>日</w:t>
      </w:r>
      <w:r>
        <w:rPr>
          <w:rFonts w:hint="eastAsia" w:ascii="仿宋" w:hAnsi="仿宋" w:eastAsia="仿宋" w:cs="仿宋"/>
          <w:kern w:val="0"/>
          <w:sz w:val="32"/>
          <w:szCs w:val="32"/>
          <w:highlight w:val="none"/>
          <w:lang w:val="en-US" w:eastAsia="zh-CN" w:bidi="ar"/>
        </w:rPr>
        <w:t>，证监会发布《上市公司2024年年度财务报告会计监管报告》。</w:t>
      </w:r>
      <w:r>
        <w:rPr>
          <w:rFonts w:hint="eastAsia" w:ascii="仿宋" w:hAnsi="仿宋" w:eastAsia="仿宋" w:cs="仿宋"/>
          <w:kern w:val="0"/>
          <w:sz w:val="32"/>
          <w:szCs w:val="32"/>
          <w:highlight w:val="none"/>
          <w:lang w:bidi="ar"/>
        </w:rPr>
        <w:t>报告列举了上市公司在收入、长期股权投资与企业合并、金融工具、资产减值、非经常性损益等方面存在的会计处理或财务信息披露错误</w:t>
      </w:r>
      <w:r>
        <w:rPr>
          <w:rFonts w:hint="eastAsia" w:ascii="仿宋" w:hAnsi="仿宋" w:eastAsia="仿宋" w:cs="仿宋"/>
          <w:kern w:val="0"/>
          <w:sz w:val="32"/>
          <w:szCs w:val="32"/>
          <w:highlight w:val="none"/>
          <w:lang w:eastAsia="zh-CN" w:bidi="ar"/>
        </w:rPr>
        <w:t>，并提醒</w:t>
      </w:r>
      <w:r>
        <w:rPr>
          <w:rFonts w:hint="eastAsia" w:ascii="仿宋" w:hAnsi="仿宋" w:eastAsia="仿宋" w:cs="仿宋"/>
          <w:kern w:val="0"/>
          <w:sz w:val="32"/>
          <w:szCs w:val="32"/>
          <w:highlight w:val="none"/>
          <w:lang w:bidi="ar"/>
        </w:rPr>
        <w:t>上市公司和会计师事务所等应高度重视会计监管报告指出的问题，及时改正财务报告中存在的错误，进一步增强理解和执行企业会计准则和财务信息披露规则的能力，认真稳妥做好上市公司财务报告信息披露相关工作，不断提升会计信息披露质量，促进资本市场高质量发展。</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eastAsia" w:ascii="楷体" w:hAnsi="楷体" w:eastAsia="楷体" w:cs="楷体"/>
          <w:kern w:val="0"/>
          <w:sz w:val="32"/>
          <w:szCs w:val="32"/>
          <w:highlight w:val="none"/>
          <w:shd w:val="clear" w:color="auto" w:fill="auto"/>
          <w:lang w:val="en-US" w:eastAsia="zh-CN" w:bidi="ar"/>
        </w:rPr>
      </w:pPr>
      <w:r>
        <w:rPr>
          <w:rFonts w:hint="eastAsia" w:ascii="楷体" w:hAnsi="楷体" w:eastAsia="楷体" w:cs="楷体"/>
          <w:i w:val="0"/>
          <w:caps w:val="0"/>
          <w:spacing w:val="0"/>
          <w:kern w:val="0"/>
          <w:sz w:val="32"/>
          <w:szCs w:val="32"/>
          <w:highlight w:val="none"/>
          <w:shd w:val="clear" w:color="auto" w:fill="auto"/>
          <w:lang w:val="en-US" w:eastAsia="zh-CN" w:bidi="ar"/>
        </w:rPr>
        <w:t>2．</w:t>
      </w:r>
      <w:r>
        <w:rPr>
          <w:rFonts w:hint="eastAsia" w:ascii="楷体" w:hAnsi="楷体" w:eastAsia="楷体" w:cs="楷体"/>
          <w:kern w:val="0"/>
          <w:sz w:val="32"/>
          <w:szCs w:val="32"/>
          <w:highlight w:val="none"/>
          <w:shd w:val="clear" w:color="auto" w:fill="auto"/>
          <w:lang w:val="en-US" w:eastAsia="zh-CN" w:bidi="ar"/>
        </w:rPr>
        <w:t>深交所就《深圳证券交易所上市公司自律监管指南第3号——可持续发展报告编制（2025年9月修订征求意见稿）》《深圳证券交易所 创业板上市公司自律监管指南第3号——可持续发展报告编制（2025年9月修订征求意见稿）》征求意见</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 w:hAnsi="仿宋" w:eastAsia="仿宋" w:cs="仿宋"/>
          <w:kern w:val="0"/>
          <w:sz w:val="32"/>
          <w:szCs w:val="32"/>
          <w:highlight w:val="none"/>
          <w:shd w:val="clear" w:color="FFFFFF" w:fill="D9D9D9"/>
          <w:lang w:val="en-US" w:eastAsia="zh-CN" w:bidi="ar"/>
        </w:rPr>
      </w:pPr>
      <w:r>
        <w:rPr>
          <w:rFonts w:hint="eastAsia" w:ascii="仿宋" w:hAnsi="仿宋" w:eastAsia="仿宋" w:cs="仿宋"/>
          <w:kern w:val="0"/>
          <w:sz w:val="32"/>
          <w:szCs w:val="32"/>
          <w:highlight w:val="none"/>
          <w:shd w:val="clear" w:color="auto" w:fill="auto"/>
          <w:lang w:val="en-US" w:eastAsia="zh-CN" w:bidi="ar"/>
        </w:rPr>
        <w:t>2025年9</w:t>
      </w:r>
      <w:r>
        <w:rPr>
          <w:rFonts w:hint="default" w:ascii="仿宋" w:hAnsi="仿宋" w:eastAsia="仿宋" w:cs="仿宋"/>
          <w:kern w:val="0"/>
          <w:sz w:val="32"/>
          <w:szCs w:val="32"/>
          <w:highlight w:val="none"/>
          <w:shd w:val="clear" w:color="auto" w:fill="auto"/>
          <w:lang w:val="en-US" w:eastAsia="zh-CN" w:bidi="ar"/>
        </w:rPr>
        <w:t>月</w:t>
      </w:r>
      <w:r>
        <w:rPr>
          <w:rFonts w:hint="eastAsia" w:ascii="仿宋" w:hAnsi="仿宋" w:eastAsia="仿宋" w:cs="仿宋"/>
          <w:kern w:val="0"/>
          <w:sz w:val="32"/>
          <w:szCs w:val="32"/>
          <w:highlight w:val="none"/>
          <w:shd w:val="clear" w:color="auto" w:fill="auto"/>
          <w:lang w:val="en-US" w:eastAsia="zh-CN" w:bidi="ar"/>
        </w:rPr>
        <w:t>5</w:t>
      </w:r>
      <w:r>
        <w:rPr>
          <w:rFonts w:hint="default" w:ascii="仿宋" w:hAnsi="仿宋" w:eastAsia="仿宋" w:cs="仿宋"/>
          <w:kern w:val="0"/>
          <w:sz w:val="32"/>
          <w:szCs w:val="32"/>
          <w:highlight w:val="none"/>
          <w:shd w:val="clear" w:color="auto" w:fill="auto"/>
          <w:lang w:val="en-US" w:eastAsia="zh-CN" w:bidi="ar"/>
        </w:rPr>
        <w:t>日</w:t>
      </w:r>
      <w:r>
        <w:rPr>
          <w:rFonts w:hint="eastAsia" w:ascii="仿宋" w:hAnsi="仿宋" w:eastAsia="仿宋" w:cs="仿宋"/>
          <w:kern w:val="0"/>
          <w:sz w:val="32"/>
          <w:szCs w:val="32"/>
          <w:highlight w:val="none"/>
          <w:shd w:val="clear" w:color="auto" w:fill="auto"/>
          <w:lang w:val="en-US" w:eastAsia="zh-CN" w:bidi="ar"/>
        </w:rPr>
        <w:t>，深交所</w:t>
      </w:r>
      <w:r>
        <w:rPr>
          <w:rFonts w:hint="default" w:ascii="仿宋" w:hAnsi="仿宋" w:eastAsia="仿宋" w:cs="仿宋"/>
          <w:kern w:val="0"/>
          <w:sz w:val="32"/>
          <w:szCs w:val="32"/>
          <w:highlight w:val="none"/>
          <w:shd w:val="clear" w:color="auto" w:fill="auto"/>
          <w:lang w:val="en-US" w:eastAsia="zh-CN" w:bidi="ar"/>
        </w:rPr>
        <w:t>发布《深圳证券交易所上市公司自律监管指南第3号——可持续发展报告编制》《深圳证券交易所创业板上市公司自律监管指南第3号——可持续发展报告编制》</w:t>
      </w:r>
      <w:r>
        <w:rPr>
          <w:rFonts w:hint="eastAsia" w:ascii="仿宋" w:hAnsi="仿宋" w:eastAsia="仿宋" w:cs="仿宋"/>
          <w:kern w:val="0"/>
          <w:sz w:val="32"/>
          <w:szCs w:val="32"/>
          <w:highlight w:val="none"/>
          <w:shd w:val="clear" w:color="auto" w:fill="auto"/>
          <w:lang w:val="en-US" w:eastAsia="zh-CN" w:bidi="ar"/>
        </w:rPr>
        <w:t>并公开征求意见。</w:t>
      </w:r>
      <w:r>
        <w:rPr>
          <w:rFonts w:hint="default" w:ascii="仿宋" w:hAnsi="仿宋" w:eastAsia="仿宋" w:cs="仿宋"/>
          <w:kern w:val="0"/>
          <w:sz w:val="32"/>
          <w:szCs w:val="32"/>
          <w:highlight w:val="none"/>
          <w:shd w:val="clear" w:color="auto" w:fill="auto"/>
          <w:lang w:val="en-US" w:eastAsia="zh-CN" w:bidi="ar"/>
        </w:rPr>
        <w:t>本次修订旨在</w:t>
      </w:r>
      <w:r>
        <w:rPr>
          <w:rFonts w:hint="eastAsia" w:ascii="仿宋" w:hAnsi="仿宋" w:eastAsia="仿宋" w:cs="仿宋"/>
          <w:kern w:val="0"/>
          <w:sz w:val="32"/>
          <w:szCs w:val="32"/>
          <w:highlight w:val="none"/>
          <w:shd w:val="clear" w:color="auto" w:fill="auto"/>
          <w:lang w:val="en-US" w:eastAsia="zh-CN" w:bidi="ar"/>
        </w:rPr>
        <w:t>进一步完善可持续发展信息披露规则体系，增强上市公司环境保护、资源利用领域可持续发展实践能力。</w:t>
      </w:r>
      <w:r>
        <w:rPr>
          <w:rFonts w:hint="default" w:ascii="仿宋" w:hAnsi="仿宋" w:eastAsia="仿宋" w:cs="仿宋"/>
          <w:kern w:val="0"/>
          <w:sz w:val="32"/>
          <w:szCs w:val="32"/>
          <w:highlight w:val="none"/>
          <w:shd w:val="clear" w:color="auto" w:fill="auto"/>
          <w:lang w:val="en-US" w:eastAsia="zh-CN" w:bidi="ar"/>
        </w:rPr>
        <w:t>本次修订不涉及《指南》前两章内容，新增污染物排放、能源利用、水资源利用三个章节，主要内容</w:t>
      </w:r>
      <w:r>
        <w:rPr>
          <w:rFonts w:hint="eastAsia" w:ascii="仿宋" w:hAnsi="仿宋" w:eastAsia="仿宋" w:cs="仿宋"/>
          <w:kern w:val="0"/>
          <w:sz w:val="32"/>
          <w:szCs w:val="32"/>
          <w:highlight w:val="none"/>
          <w:shd w:val="clear" w:color="auto" w:fill="auto"/>
          <w:lang w:val="en-US" w:eastAsia="zh-CN" w:bidi="ar"/>
        </w:rPr>
        <w:t>包括</w:t>
      </w:r>
      <w:r>
        <w:rPr>
          <w:rFonts w:hint="default" w:ascii="仿宋" w:hAnsi="仿宋" w:eastAsia="仿宋" w:cs="仿宋"/>
          <w:kern w:val="0"/>
          <w:sz w:val="32"/>
          <w:szCs w:val="32"/>
          <w:highlight w:val="none"/>
          <w:shd w:val="clear" w:color="auto" w:fill="auto"/>
          <w:lang w:val="en-US" w:eastAsia="zh-CN" w:bidi="ar"/>
        </w:rPr>
        <w:t>：一是说明相关议题的主要风险和机遇</w:t>
      </w:r>
      <w:r>
        <w:rPr>
          <w:rFonts w:hint="eastAsia" w:ascii="仿宋" w:hAnsi="仿宋" w:eastAsia="仿宋" w:cs="仿宋"/>
          <w:kern w:val="0"/>
          <w:sz w:val="32"/>
          <w:szCs w:val="32"/>
          <w:highlight w:val="none"/>
          <w:shd w:val="clear" w:color="auto" w:fill="auto"/>
          <w:lang w:val="en-US" w:eastAsia="zh-CN" w:bidi="ar"/>
        </w:rPr>
        <w:t>；</w:t>
      </w:r>
      <w:r>
        <w:rPr>
          <w:rFonts w:hint="default" w:ascii="仿宋" w:hAnsi="仿宋" w:eastAsia="仿宋" w:cs="仿宋"/>
          <w:kern w:val="0"/>
          <w:sz w:val="32"/>
          <w:szCs w:val="32"/>
          <w:highlight w:val="none"/>
          <w:shd w:val="clear" w:color="auto" w:fill="auto"/>
          <w:lang w:val="en-US" w:eastAsia="zh-CN" w:bidi="ar"/>
        </w:rPr>
        <w:t>二是提供披露数据的通用计算流程与方法</w:t>
      </w:r>
      <w:r>
        <w:rPr>
          <w:rFonts w:hint="eastAsia" w:ascii="仿宋" w:hAnsi="仿宋" w:eastAsia="仿宋" w:cs="仿宋"/>
          <w:kern w:val="0"/>
          <w:sz w:val="32"/>
          <w:szCs w:val="32"/>
          <w:highlight w:val="none"/>
          <w:shd w:val="clear" w:color="auto" w:fill="auto"/>
          <w:lang w:val="en-US" w:eastAsia="zh-CN" w:bidi="ar"/>
        </w:rPr>
        <w:t>；</w:t>
      </w:r>
      <w:r>
        <w:rPr>
          <w:rFonts w:hint="default" w:ascii="仿宋" w:hAnsi="仿宋" w:eastAsia="仿宋" w:cs="仿宋"/>
          <w:kern w:val="0"/>
          <w:sz w:val="32"/>
          <w:szCs w:val="32"/>
          <w:highlight w:val="none"/>
          <w:shd w:val="clear" w:color="auto" w:fill="auto"/>
          <w:lang w:val="en-US" w:eastAsia="zh-CN" w:bidi="ar"/>
        </w:rPr>
        <w:t>三是明确具体信息披露要点。</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default" w:ascii="黑体" w:hAnsi="黑体" w:eastAsia="黑体" w:cs="黑体"/>
          <w:kern w:val="0"/>
          <w:sz w:val="32"/>
          <w:szCs w:val="32"/>
          <w:highlight w:val="none"/>
          <w:lang w:val="en-US" w:eastAsia="zh-CN" w:bidi="ar"/>
        </w:rPr>
      </w:pPr>
      <w:r>
        <w:rPr>
          <w:rFonts w:hint="eastAsia" w:ascii="黑体" w:hAnsi="黑体" w:eastAsia="黑体" w:cs="黑体"/>
          <w:kern w:val="0"/>
          <w:sz w:val="32"/>
          <w:szCs w:val="32"/>
          <w:highlight w:val="none"/>
          <w:lang w:val="en-US" w:eastAsia="zh-CN" w:bidi="ar"/>
        </w:rPr>
        <w:t>（三）国际会计审计政策资讯</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楷体" w:hAnsi="楷体" w:eastAsia="楷体" w:cs="楷体"/>
          <w:kern w:val="0"/>
          <w:sz w:val="32"/>
          <w:szCs w:val="32"/>
          <w:highlight w:val="none"/>
          <w:lang w:val="en-US" w:eastAsia="zh-CN" w:bidi="ar"/>
        </w:rPr>
      </w:pPr>
      <w:r>
        <w:rPr>
          <w:rFonts w:hint="default" w:ascii="楷体" w:hAnsi="楷体" w:eastAsia="楷体" w:cs="楷体"/>
          <w:kern w:val="0"/>
          <w:sz w:val="32"/>
          <w:szCs w:val="32"/>
          <w:highlight w:val="none"/>
          <w:lang w:val="en-US" w:eastAsia="zh-CN" w:bidi="ar"/>
        </w:rPr>
        <w:t>1</w:t>
      </w:r>
      <w:r>
        <w:rPr>
          <w:rFonts w:hint="eastAsia" w:ascii="楷体" w:hAnsi="楷体" w:eastAsia="楷体" w:cs="楷体"/>
          <w:kern w:val="0"/>
          <w:sz w:val="32"/>
          <w:szCs w:val="32"/>
          <w:highlight w:val="none"/>
          <w:lang w:val="en-US" w:eastAsia="zh-CN" w:bidi="ar"/>
        </w:rPr>
        <w:t>．</w:t>
      </w:r>
      <w:r>
        <w:rPr>
          <w:rFonts w:hint="default" w:ascii="楷体" w:hAnsi="楷体" w:eastAsia="楷体" w:cs="楷体"/>
          <w:kern w:val="0"/>
          <w:sz w:val="32"/>
          <w:szCs w:val="32"/>
          <w:highlight w:val="none"/>
          <w:lang w:val="en-US" w:eastAsia="zh-CN" w:bidi="ar"/>
        </w:rPr>
        <w:t>国际会计准则理事会发布《对〈国际财务报告准则第19号——非公共受托责任子公司的披露〉的修订》</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仿宋" w:hAnsi="仿宋" w:eastAsia="仿宋" w:cs="仿宋"/>
          <w:kern w:val="0"/>
          <w:sz w:val="32"/>
          <w:szCs w:val="32"/>
          <w:highlight w:val="none"/>
          <w:lang w:val="en-US" w:eastAsia="zh-CN" w:bidi="ar"/>
        </w:rPr>
      </w:pPr>
      <w:r>
        <w:rPr>
          <w:rFonts w:hint="default" w:ascii="仿宋" w:hAnsi="仿宋" w:eastAsia="仿宋" w:cs="仿宋"/>
          <w:kern w:val="0"/>
          <w:sz w:val="32"/>
          <w:szCs w:val="32"/>
          <w:highlight w:val="none"/>
          <w:lang w:bidi="ar"/>
        </w:rPr>
        <w:t>2025年8月21日，国际会计准则理事会（以下简称理事会）发布了《对〈国际财务报告准则第19号——非公共受托责任子公司的披露〉的修订》</w:t>
      </w:r>
      <w:r>
        <w:rPr>
          <w:rFonts w:hint="eastAsia" w:ascii="仿宋" w:hAnsi="仿宋" w:eastAsia="仿宋" w:cs="仿宋"/>
          <w:kern w:val="0"/>
          <w:sz w:val="32"/>
          <w:szCs w:val="32"/>
          <w:highlight w:val="none"/>
          <w:lang w:eastAsia="zh-CN" w:bidi="ar"/>
        </w:rPr>
        <w:t>，</w:t>
      </w:r>
      <w:r>
        <w:rPr>
          <w:rFonts w:hint="default" w:ascii="仿宋" w:hAnsi="仿宋" w:eastAsia="仿宋" w:cs="仿宋"/>
          <w:kern w:val="0"/>
          <w:sz w:val="32"/>
          <w:szCs w:val="32"/>
          <w:highlight w:val="none"/>
          <w:lang w:val="en-US" w:eastAsia="zh-CN" w:bidi="ar"/>
        </w:rPr>
        <w:t>旨在</w:t>
      </w:r>
      <w:r>
        <w:rPr>
          <w:rFonts w:hint="eastAsia" w:ascii="仿宋" w:hAnsi="仿宋" w:eastAsia="仿宋" w:cs="仿宋"/>
          <w:kern w:val="0"/>
          <w:sz w:val="32"/>
          <w:szCs w:val="32"/>
          <w:highlight w:val="none"/>
          <w:lang w:val="en-US" w:eastAsia="zh-CN" w:bidi="ar"/>
        </w:rPr>
        <w:t>更新</w:t>
      </w:r>
      <w:r>
        <w:rPr>
          <w:rFonts w:hint="eastAsia" w:ascii="仿宋" w:hAnsi="仿宋" w:eastAsia="仿宋" w:cs="仿宋"/>
          <w:kern w:val="0"/>
          <w:sz w:val="32"/>
          <w:szCs w:val="32"/>
          <w:highlight w:val="none"/>
          <w:lang w:bidi="ar"/>
        </w:rPr>
        <w:t>2021年2月至2024年5月期间完成的5个国际会计准则项目所涉及</w:t>
      </w:r>
      <w:r>
        <w:rPr>
          <w:rFonts w:hint="eastAsia" w:ascii="仿宋" w:hAnsi="仿宋" w:eastAsia="仿宋" w:cs="仿宋"/>
          <w:kern w:val="0"/>
          <w:sz w:val="32"/>
          <w:szCs w:val="32"/>
          <w:highlight w:val="none"/>
          <w:lang w:eastAsia="zh-CN" w:bidi="ar"/>
        </w:rPr>
        <w:t>的</w:t>
      </w:r>
      <w:r>
        <w:rPr>
          <w:rFonts w:hint="default" w:ascii="仿宋" w:hAnsi="仿宋" w:eastAsia="仿宋" w:cs="仿宋"/>
          <w:kern w:val="0"/>
          <w:sz w:val="32"/>
          <w:szCs w:val="32"/>
          <w:highlight w:val="none"/>
          <w:lang w:val="en-US" w:eastAsia="zh-CN" w:bidi="ar"/>
        </w:rPr>
        <w:t>简化披露要求。</w:t>
      </w: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 w:hAnsi="仿宋" w:eastAsia="仿宋" w:cs="仿宋"/>
          <w:kern w:val="0"/>
          <w:sz w:val="32"/>
          <w:szCs w:val="32"/>
          <w:highlight w:val="none"/>
          <w:lang w:bidi="ar"/>
        </w:rPr>
      </w:pPr>
      <w:r>
        <w:rPr>
          <w:rFonts w:hint="default" w:ascii="仿宋" w:hAnsi="仿宋" w:eastAsia="仿宋" w:cs="仿宋"/>
          <w:kern w:val="0"/>
          <w:sz w:val="32"/>
          <w:szCs w:val="32"/>
          <w:highlight w:val="none"/>
          <w:lang w:bidi="ar"/>
        </w:rPr>
        <w:t>本次修订的主要内容</w:t>
      </w:r>
      <w:r>
        <w:rPr>
          <w:rFonts w:hint="eastAsia" w:ascii="仿宋" w:hAnsi="仿宋" w:eastAsia="仿宋" w:cs="仿宋"/>
          <w:kern w:val="0"/>
          <w:sz w:val="32"/>
          <w:szCs w:val="32"/>
          <w:highlight w:val="none"/>
          <w:lang w:val="en-US" w:eastAsia="zh-CN" w:bidi="ar"/>
        </w:rPr>
        <w:t>包括：一是</w:t>
      </w:r>
      <w:r>
        <w:rPr>
          <w:rFonts w:hint="eastAsia" w:ascii="仿宋" w:hAnsi="仿宋" w:eastAsia="仿宋" w:cs="仿宋"/>
          <w:kern w:val="0"/>
          <w:sz w:val="32"/>
          <w:szCs w:val="32"/>
          <w:highlight w:val="none"/>
          <w:lang w:bidi="ar"/>
        </w:rPr>
        <w:t>关于主要财务报表项目</w:t>
      </w:r>
      <w:r>
        <w:rPr>
          <w:rFonts w:hint="eastAsia" w:ascii="仿宋" w:hAnsi="仿宋" w:eastAsia="仿宋" w:cs="仿宋"/>
          <w:kern w:val="0"/>
          <w:sz w:val="32"/>
          <w:szCs w:val="32"/>
          <w:highlight w:val="none"/>
          <w:lang w:val="en-US" w:eastAsia="zh-CN" w:bidi="ar"/>
        </w:rPr>
        <w:t>，</w:t>
      </w:r>
      <w:r>
        <w:rPr>
          <w:rFonts w:hint="eastAsia" w:ascii="仿宋" w:hAnsi="仿宋" w:eastAsia="仿宋" w:cs="仿宋"/>
          <w:kern w:val="0"/>
          <w:sz w:val="32"/>
          <w:szCs w:val="32"/>
          <w:highlight w:val="none"/>
          <w:lang w:bidi="ar"/>
        </w:rPr>
        <w:t>删除关于“管理层界定的业绩指标”披露要求</w:t>
      </w:r>
      <w:r>
        <w:rPr>
          <w:rFonts w:hint="eastAsia" w:ascii="仿宋" w:hAnsi="仿宋" w:eastAsia="仿宋" w:cs="仿宋"/>
          <w:kern w:val="0"/>
          <w:sz w:val="32"/>
          <w:szCs w:val="32"/>
          <w:highlight w:val="none"/>
          <w:lang w:eastAsia="zh-CN" w:bidi="ar"/>
        </w:rPr>
        <w:t>，以及</w:t>
      </w:r>
      <w:r>
        <w:rPr>
          <w:rFonts w:hint="eastAsia" w:ascii="仿宋" w:hAnsi="仿宋" w:eastAsia="仿宋" w:cs="仿宋"/>
          <w:kern w:val="0"/>
          <w:sz w:val="32"/>
          <w:szCs w:val="32"/>
          <w:highlight w:val="none"/>
          <w:lang w:bidi="ar"/>
        </w:rPr>
        <w:t>关于附有契约条件的非流动负债的披露目标</w:t>
      </w:r>
      <w:r>
        <w:rPr>
          <w:rFonts w:hint="eastAsia" w:ascii="仿宋" w:hAnsi="仿宋" w:eastAsia="仿宋" w:cs="仿宋"/>
          <w:kern w:val="0"/>
          <w:sz w:val="32"/>
          <w:szCs w:val="32"/>
          <w:highlight w:val="none"/>
          <w:lang w:eastAsia="zh-CN" w:bidi="ar"/>
        </w:rPr>
        <w:t>等</w:t>
      </w:r>
      <w:r>
        <w:rPr>
          <w:rFonts w:hint="eastAsia" w:ascii="仿宋" w:hAnsi="仿宋" w:eastAsia="仿宋" w:cs="仿宋"/>
          <w:kern w:val="0"/>
          <w:sz w:val="32"/>
          <w:szCs w:val="32"/>
          <w:highlight w:val="none"/>
          <w:lang w:val="en-US" w:eastAsia="zh-CN" w:bidi="ar"/>
        </w:rPr>
        <w:t>。二是</w:t>
      </w:r>
      <w:r>
        <w:rPr>
          <w:rFonts w:hint="eastAsia" w:ascii="仿宋" w:hAnsi="仿宋" w:eastAsia="仿宋" w:cs="仿宋"/>
          <w:kern w:val="0"/>
          <w:sz w:val="32"/>
          <w:szCs w:val="32"/>
          <w:highlight w:val="none"/>
          <w:lang w:bidi="ar"/>
        </w:rPr>
        <w:t>关于供应商融资安排项目</w:t>
      </w:r>
      <w:r>
        <w:rPr>
          <w:rFonts w:hint="eastAsia" w:ascii="仿宋" w:hAnsi="仿宋" w:eastAsia="仿宋" w:cs="仿宋"/>
          <w:kern w:val="0"/>
          <w:sz w:val="32"/>
          <w:szCs w:val="32"/>
          <w:highlight w:val="none"/>
          <w:lang w:val="en-US" w:eastAsia="zh-CN" w:bidi="ar"/>
        </w:rPr>
        <w:t>，</w:t>
      </w:r>
      <w:r>
        <w:rPr>
          <w:rFonts w:hint="eastAsia" w:ascii="仿宋" w:hAnsi="仿宋" w:eastAsia="仿宋" w:cs="仿宋"/>
          <w:kern w:val="0"/>
          <w:sz w:val="32"/>
          <w:szCs w:val="32"/>
          <w:highlight w:val="none"/>
          <w:lang w:bidi="ar"/>
        </w:rPr>
        <w:t>删除原直接引入的关于“供应商融资安排”披露目标及其索引，以及应付账款的付款到期日范围的相关披露要求</w:t>
      </w:r>
      <w:r>
        <w:rPr>
          <w:rFonts w:hint="eastAsia" w:ascii="仿宋" w:hAnsi="仿宋" w:eastAsia="仿宋" w:cs="仿宋"/>
          <w:kern w:val="0"/>
          <w:sz w:val="32"/>
          <w:szCs w:val="32"/>
          <w:highlight w:val="none"/>
          <w:lang w:eastAsia="zh-CN" w:bidi="ar"/>
        </w:rPr>
        <w:t>。三是</w:t>
      </w:r>
      <w:r>
        <w:rPr>
          <w:rFonts w:hint="eastAsia" w:ascii="仿宋" w:hAnsi="仿宋" w:eastAsia="仿宋" w:cs="仿宋"/>
          <w:kern w:val="0"/>
          <w:sz w:val="32"/>
          <w:szCs w:val="32"/>
          <w:highlight w:val="none"/>
          <w:lang w:bidi="ar"/>
        </w:rPr>
        <w:t>关于国际税收改革——支柱二立法模板项目</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bidi="ar"/>
        </w:rPr>
        <w:t>删除“国际税收改革——支柱二立法模板”的披露目标及相关索引，要求企业披露支柱二立法在颁布后生效前对所得税的影响</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bidi="ar"/>
        </w:rPr>
        <w:t>四</w:t>
      </w:r>
      <w:r>
        <w:rPr>
          <w:rFonts w:hint="eastAsia" w:ascii="仿宋" w:hAnsi="仿宋" w:eastAsia="仿宋" w:cs="仿宋"/>
          <w:kern w:val="0"/>
          <w:sz w:val="32"/>
          <w:szCs w:val="32"/>
          <w:highlight w:val="none"/>
          <w:lang w:eastAsia="zh-CN" w:bidi="ar"/>
        </w:rPr>
        <w:t>是</w:t>
      </w:r>
      <w:r>
        <w:rPr>
          <w:rFonts w:hint="eastAsia" w:ascii="仿宋" w:hAnsi="仿宋" w:eastAsia="仿宋" w:cs="仿宋"/>
          <w:kern w:val="0"/>
          <w:sz w:val="32"/>
          <w:szCs w:val="32"/>
          <w:highlight w:val="none"/>
          <w:lang w:bidi="ar"/>
        </w:rPr>
        <w:t>关于缺乏可兑换性项目</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bidi="ar"/>
        </w:rPr>
        <w:t>删除关于“缺乏可兑换性”的披露目标相关内容。</w:t>
      </w:r>
      <w:r>
        <w:rPr>
          <w:rFonts w:hint="eastAsia" w:ascii="仿宋" w:hAnsi="仿宋" w:eastAsia="仿宋" w:cs="仿宋"/>
          <w:kern w:val="0"/>
          <w:sz w:val="32"/>
          <w:szCs w:val="32"/>
          <w:highlight w:val="none"/>
          <w:lang w:eastAsia="zh-CN" w:bidi="ar"/>
        </w:rPr>
        <w:t>五是</w:t>
      </w:r>
      <w:r>
        <w:rPr>
          <w:rFonts w:hint="eastAsia" w:ascii="仿宋" w:hAnsi="仿宋" w:eastAsia="仿宋" w:cs="仿宋"/>
          <w:kern w:val="0"/>
          <w:sz w:val="32"/>
          <w:szCs w:val="32"/>
          <w:highlight w:val="none"/>
          <w:lang w:bidi="ar"/>
        </w:rPr>
        <w:t>关于金融工具分类和计量修订项目</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bidi="ar"/>
        </w:rPr>
        <w:t>删除合同现金流量金额发生变更时披露要求的考虑因素，以及具体示例的段落。</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楷体" w:hAnsi="楷体" w:eastAsia="楷体" w:cs="楷体"/>
          <w:kern w:val="0"/>
          <w:sz w:val="32"/>
          <w:szCs w:val="32"/>
          <w:highlight w:val="none"/>
          <w:lang w:bidi="ar"/>
        </w:rPr>
      </w:pPr>
      <w:r>
        <w:rPr>
          <w:rFonts w:hint="eastAsia" w:ascii="楷体" w:hAnsi="楷体" w:eastAsia="楷体" w:cs="楷体"/>
          <w:kern w:val="0"/>
          <w:sz w:val="32"/>
          <w:szCs w:val="32"/>
          <w:highlight w:val="none"/>
          <w:lang w:val="en-US" w:eastAsia="zh-CN" w:bidi="ar"/>
        </w:rPr>
        <w:t>2．</w:t>
      </w:r>
      <w:r>
        <w:rPr>
          <w:rFonts w:hint="default" w:ascii="楷体" w:hAnsi="楷体" w:eastAsia="楷体" w:cs="楷体"/>
          <w:kern w:val="0"/>
          <w:sz w:val="32"/>
          <w:szCs w:val="32"/>
          <w:highlight w:val="none"/>
          <w:lang w:bidi="ar"/>
        </w:rPr>
        <w:t>国际标准化组织与温室气体核算体系达成合作</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仿宋" w:hAnsi="仿宋" w:eastAsia="仿宋" w:cs="仿宋"/>
          <w:kern w:val="0"/>
          <w:sz w:val="32"/>
          <w:szCs w:val="32"/>
          <w:highlight w:val="none"/>
          <w:shd w:val="clear"/>
          <w:lang w:bidi="ar"/>
        </w:rPr>
      </w:pPr>
      <w:r>
        <w:rPr>
          <w:rFonts w:hint="default" w:ascii="仿宋" w:hAnsi="仿宋" w:eastAsia="仿宋" w:cs="仿宋"/>
          <w:kern w:val="0"/>
          <w:sz w:val="32"/>
          <w:szCs w:val="32"/>
          <w:highlight w:val="none"/>
          <w:lang w:bidi="ar"/>
        </w:rPr>
        <w:t>2025年9月9日，国际标准化组织（ISO）与温室气体核算体系（GHG Protocol）宣布建立合作伙伴关系，旨在协调双方现有的温室气体（GHG）标准体系，并共同制定温室气体排放核算与报告的新标准。根据协定，双方拟将各自的温室气体标准整合为统一的联合国际标准，具体包括国际标准化组织制定的温室气体评估和核查系列标准，以及温室气体核算体系的企业核算与报告标准、范围2和范围3标准等。此外，鉴于碳核算全流程需要采取统一方法，双方还将联合制定产品碳足迹标准，这符合越来越多的企业希望获取价值链各环节更细化数据的需求，以指导其脱碳决策。</w:t>
      </w:r>
    </w:p>
    <w:p>
      <w:pPr>
        <w:numPr>
          <w:ilvl w:val="0"/>
          <w:numId w:val="0"/>
        </w:numPr>
        <w:spacing w:beforeLines="0" w:afterLines="0" w:line="560" w:lineRule="exact"/>
        <w:ind w:firstLine="640" w:firstLineChars="200"/>
        <w:jc w:val="both"/>
        <w:rPr>
          <w:rFonts w:hint="default" w:ascii="仿宋" w:hAnsi="仿宋" w:eastAsia="仿宋" w:cs="仿宋"/>
          <w:i w:val="0"/>
          <w:iCs w:val="0"/>
          <w:caps w:val="0"/>
          <w:spacing w:val="0"/>
          <w:kern w:val="0"/>
          <w:sz w:val="32"/>
          <w:szCs w:val="32"/>
          <w:highlight w:val="none"/>
          <w:lang w:bidi="ar"/>
        </w:rPr>
      </w:pPr>
    </w:p>
    <w:p>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ascii="Times New Roman" w:hAnsi="Times New Roman" w:eastAsia="楷体" w:cs="Times New Roman"/>
          <w:color w:val="000000"/>
          <w:sz w:val="32"/>
          <w:szCs w:val="32"/>
          <w:highlight w:val="none"/>
          <w:shd w:val="clear" w:color="FFFFFF" w:fill="D9D9D9"/>
        </w:rPr>
      </w:pPr>
      <w:r>
        <w:rPr>
          <w:rFonts w:ascii="Times New Roman" w:hAnsi="Times New Roman" w:eastAsia="楷体" w:cs="Times New Roman"/>
          <w:color w:val="000000"/>
          <w:sz w:val="32"/>
          <w:szCs w:val="32"/>
          <w:highlight w:val="none"/>
          <w:shd w:val="clear" w:color="FFFFFF" w:fill="D9D9D9"/>
        </w:rPr>
        <mc:AlternateContent>
          <mc:Choice Requires="wps">
            <w:drawing>
              <wp:anchor distT="0" distB="0" distL="114300" distR="114300" simplePos="0" relativeHeight="251678720" behindDoc="0" locked="0" layoutInCell="1" allowOverlap="1">
                <wp:simplePos x="0" y="0"/>
                <wp:positionH relativeFrom="column">
                  <wp:posOffset>-1454785</wp:posOffset>
                </wp:positionH>
                <wp:positionV relativeFrom="paragraph">
                  <wp:posOffset>7363460</wp:posOffset>
                </wp:positionV>
                <wp:extent cx="3301365" cy="937895"/>
                <wp:effectExtent l="0" t="0" r="0" b="0"/>
                <wp:wrapNone/>
                <wp:docPr id="135" name="矩形 135"/>
                <wp:cNvGraphicFramePr/>
                <a:graphic xmlns:a="http://schemas.openxmlformats.org/drawingml/2006/main">
                  <a:graphicData uri="http://schemas.microsoft.com/office/word/2010/wordprocessingShape">
                    <wps:wsp>
                      <wps:cNvSpPr/>
                      <wps:spPr>
                        <a:xfrm>
                          <a:off x="0" y="0"/>
                          <a:ext cx="3301365" cy="937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560" w:lineRule="exact"/>
                              <w:jc w:val="center"/>
                              <w:rPr>
                                <w:rFonts w:ascii="黑体" w:hAnsi="黑体" w:eastAsia="黑体"/>
                                <w:sz w:val="28"/>
                                <w:szCs w:val="28"/>
                              </w:rPr>
                            </w:pPr>
                            <w:r>
                              <w:rPr>
                                <w:rFonts w:hint="eastAsia" w:ascii="黑体" w:hAnsi="黑体" w:eastAsia="黑体"/>
                                <w:sz w:val="28"/>
                                <w:szCs w:val="28"/>
                              </w:rPr>
                              <w:t>如有任何意见建议</w:t>
                            </w:r>
                          </w:p>
                          <w:p>
                            <w:pPr>
                              <w:spacing w:line="560" w:lineRule="exact"/>
                              <w:jc w:val="center"/>
                              <w:rPr>
                                <w:rFonts w:ascii="黑体" w:hAnsi="黑体" w:eastAsia="黑体"/>
                                <w:sz w:val="28"/>
                                <w:szCs w:val="28"/>
                              </w:rPr>
                            </w:pPr>
                            <w:r>
                              <w:rPr>
                                <w:rFonts w:hint="eastAsia" w:ascii="黑体" w:hAnsi="黑体" w:eastAsia="黑体"/>
                                <w:sz w:val="28"/>
                                <w:szCs w:val="28"/>
                              </w:rPr>
                              <w:t>欢迎扫码反馈</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55pt;margin-top:579.8pt;height:73.85pt;width:259.95pt;z-index:251678720;v-text-anchor:middle;mso-width-relative:page;mso-height-relative:page;" filled="f" stroked="f" coordsize="21600,21600" o:gfxdata="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xtBvTbAAAADgEAAA8AAAAAAAAAAQAgAAAAIgAAAGRycy9kb3ducmV2LnhtbFBLAQIU&#10;ABQAAAAIAIdO4kBIzT9FYgIAALEEAAAOAAAAAAAAAAEAIAAAACoBAABkcnMvZTJvRG9jLnhtbFBL&#10;BQYAAAAABgAGAFkBAAD+BQAAAAA=&#10;">
                <v:fill on="f" focussize="0,0"/>
                <v:stroke on="f" weight="1pt" miterlimit="8" joinstyle="miter"/>
                <v:imagedata o:title=""/>
                <o:lock v:ext="edit" aspectratio="f"/>
                <v:textbox>
                  <w:txbxContent>
                    <w:p>
                      <w:pPr>
                        <w:spacing w:line="560" w:lineRule="exact"/>
                        <w:jc w:val="center"/>
                        <w:rPr>
                          <w:rFonts w:ascii="黑体" w:hAnsi="黑体" w:eastAsia="黑体"/>
                          <w:sz w:val="28"/>
                          <w:szCs w:val="28"/>
                        </w:rPr>
                      </w:pPr>
                      <w:r>
                        <w:rPr>
                          <w:rFonts w:hint="eastAsia" w:ascii="黑体" w:hAnsi="黑体" w:eastAsia="黑体"/>
                          <w:sz w:val="28"/>
                          <w:szCs w:val="28"/>
                        </w:rPr>
                        <w:t>如有任何意见建议</w:t>
                      </w:r>
                    </w:p>
                    <w:p>
                      <w:pPr>
                        <w:spacing w:line="560" w:lineRule="exact"/>
                        <w:jc w:val="center"/>
                        <w:rPr>
                          <w:rFonts w:ascii="黑体" w:hAnsi="黑体" w:eastAsia="黑体"/>
                          <w:sz w:val="28"/>
                          <w:szCs w:val="28"/>
                        </w:rPr>
                      </w:pPr>
                      <w:r>
                        <w:rPr>
                          <w:rFonts w:hint="eastAsia" w:ascii="黑体" w:hAnsi="黑体" w:eastAsia="黑体"/>
                          <w:sz w:val="28"/>
                          <w:szCs w:val="28"/>
                        </w:rPr>
                        <w:t>欢迎扫码反馈</w:t>
                      </w:r>
                    </w:p>
                    <w:p/>
                  </w:txbxContent>
                </v:textbox>
              </v:rect>
            </w:pict>
          </mc:Fallback>
        </mc:AlternateContent>
      </w:r>
    </w:p>
    <w:p>
      <w:pPr>
        <w:pStyle w:val="8"/>
        <w:keepNext w:val="0"/>
        <w:keepLines w:val="0"/>
        <w:pageBreakBefore w:val="0"/>
        <w:kinsoku/>
        <w:wordWrap/>
        <w:bidi w:val="0"/>
        <w:spacing w:beforeLines="0" w:afterLines="0" w:line="560" w:lineRule="exact"/>
        <w:rPr>
          <w:rFonts w:hint="default"/>
          <w:highlight w:val="none"/>
          <w:lang w:val="en-US" w:eastAsia="zh-CN"/>
        </w:rPr>
      </w:pPr>
    </w:p>
    <w:p>
      <w:pPr>
        <w:keepNext w:val="0"/>
        <w:keepLines w:val="0"/>
        <w:pageBreakBefore w:val="0"/>
        <w:kinsoku/>
        <w:wordWrap/>
        <w:topLinePunct w:val="0"/>
        <w:bidi w:val="0"/>
        <w:adjustRightInd/>
        <w:snapToGrid/>
        <w:spacing w:beforeLines="0" w:afterLines="0" w:line="560" w:lineRule="exact"/>
        <w:ind w:firstLine="0" w:firstLineChars="0"/>
        <w:outlineLvl w:val="9"/>
        <w:rPr>
          <w:rFonts w:ascii="楷体" w:hAnsi="楷体" w:eastAsia="楷体" w:cs="Times New Roman"/>
          <w:color w:val="000000"/>
          <w:sz w:val="32"/>
          <w:szCs w:val="32"/>
          <w:highlight w:val="none"/>
        </w:rPr>
      </w:pPr>
      <w:r>
        <w:rPr>
          <w:rFonts w:ascii="楷体" w:hAnsi="楷体" w:eastAsia="楷体" w:cs="Times New Roman"/>
          <w:color w:val="000000"/>
          <w:sz w:val="32"/>
          <w:szCs w:val="32"/>
          <w:highlight w:val="none"/>
        </w:rPr>
        <w:br w:type="page"/>
      </w:r>
    </w:p>
    <w:p>
      <w:pPr>
        <w:keepNext w:val="0"/>
        <w:keepLines w:val="0"/>
        <w:pageBreakBefore w:val="0"/>
        <w:kinsoku/>
        <w:wordWrap/>
        <w:topLinePunct/>
        <w:bidi w:val="0"/>
        <w:spacing w:beforeLines="0" w:afterLines="0" w:line="560" w:lineRule="exact"/>
        <w:textAlignment w:val="center"/>
        <w:rPr>
          <w:rFonts w:ascii="Times New Roman" w:hAnsi="Times New Roman" w:eastAsia="楷体" w:cs="Times New Roman"/>
          <w:color w:val="000000"/>
          <w:sz w:val="32"/>
          <w:szCs w:val="32"/>
          <w:highlight w:val="none"/>
        </w:rPr>
      </w:pPr>
      <w:r>
        <w:rPr>
          <w:rFonts w:ascii="Times New Roman" w:hAnsi="Times New Roman" w:eastAsia="楷体" w:cs="Times New Roman"/>
          <w:color w:val="000000"/>
          <w:sz w:val="32"/>
          <w:szCs w:val="32"/>
          <w:highlight w:val="none"/>
        </w:rPr>
        <w:drawing>
          <wp:anchor distT="0" distB="0" distL="114300" distR="114300" simplePos="0" relativeHeight="251664384" behindDoc="0" locked="0" layoutInCell="1" allowOverlap="1">
            <wp:simplePos x="0" y="0"/>
            <wp:positionH relativeFrom="column">
              <wp:posOffset>-307975</wp:posOffset>
            </wp:positionH>
            <wp:positionV relativeFrom="paragraph">
              <wp:posOffset>6337300</wp:posOffset>
            </wp:positionV>
            <wp:extent cx="904875" cy="904875"/>
            <wp:effectExtent l="0" t="0" r="9525" b="9525"/>
            <wp:wrapNone/>
            <wp:docPr id="15" name="图片 15" descr="d:\Users\panzhang\Desktop\a876237d3f49d38805ca4f787b663ec.pnga876237d3f49d38805ca4f787b66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Users\panzhang\Desktop\a876237d3f49d38805ca4f787b663ec.pnga876237d3f49d38805ca4f787b663ec"/>
                    <pic:cNvPicPr>
                      <a:picLocks noChangeAspect="1"/>
                    </pic:cNvPicPr>
                  </pic:nvPicPr>
                  <pic:blipFill>
                    <a:blip r:embed="rId19">
                      <a:duotone>
                        <a:schemeClr val="accent1">
                          <a:shade val="45000"/>
                          <a:satMod val="135000"/>
                        </a:schemeClr>
                        <a:prstClr val="white"/>
                      </a:duotone>
                    </a:blip>
                    <a:srcRect/>
                    <a:stretch>
                      <a:fillRect/>
                    </a:stretch>
                  </pic:blipFill>
                  <pic:spPr>
                    <a:xfrm>
                      <a:off x="0" y="0"/>
                      <a:ext cx="904875" cy="904875"/>
                    </a:xfrm>
                    <a:prstGeom prst="rect">
                      <a:avLst/>
                    </a:prstGeom>
                    <a:ln>
                      <a:noFill/>
                    </a:ln>
                  </pic:spPr>
                </pic:pic>
              </a:graphicData>
            </a:graphic>
          </wp:anchor>
        </w:drawing>
      </w:r>
      <w:r>
        <w:rPr>
          <w:rFonts w:ascii="Times New Roman" w:hAnsi="Times New Roman" w:eastAsia="楷体" w:cs="Times New Roman"/>
          <w:color w:val="000000"/>
          <w:sz w:val="32"/>
          <w:szCs w:val="32"/>
          <w:highlight w:val="none"/>
        </w:rPr>
        <mc:AlternateContent>
          <mc:Choice Requires="wps">
            <w:drawing>
              <wp:anchor distT="0" distB="0" distL="114300" distR="114300" simplePos="0" relativeHeight="251665408" behindDoc="0" locked="0" layoutInCell="1" allowOverlap="1">
                <wp:simplePos x="0" y="0"/>
                <wp:positionH relativeFrom="column">
                  <wp:posOffset>-1454785</wp:posOffset>
                </wp:positionH>
                <wp:positionV relativeFrom="paragraph">
                  <wp:posOffset>7363460</wp:posOffset>
                </wp:positionV>
                <wp:extent cx="3301365" cy="937895"/>
                <wp:effectExtent l="0" t="0" r="0" b="0"/>
                <wp:wrapNone/>
                <wp:docPr id="16" name="矩形 16"/>
                <wp:cNvGraphicFramePr/>
                <a:graphic xmlns:a="http://schemas.openxmlformats.org/drawingml/2006/main">
                  <a:graphicData uri="http://schemas.microsoft.com/office/word/2010/wordprocessingShape">
                    <wps:wsp>
                      <wps:cNvSpPr/>
                      <wps:spPr>
                        <a:xfrm>
                          <a:off x="0" y="0"/>
                          <a:ext cx="3301365" cy="937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560" w:lineRule="exact"/>
                              <w:jc w:val="center"/>
                              <w:rPr>
                                <w:rFonts w:ascii="黑体" w:hAnsi="黑体" w:eastAsia="黑体"/>
                                <w:sz w:val="28"/>
                                <w:szCs w:val="28"/>
                              </w:rPr>
                            </w:pPr>
                            <w:r>
                              <w:rPr>
                                <w:rFonts w:hint="eastAsia" w:ascii="黑体" w:hAnsi="黑体" w:eastAsia="黑体"/>
                                <w:sz w:val="28"/>
                                <w:szCs w:val="28"/>
                              </w:rPr>
                              <w:t>如有任何意见建议</w:t>
                            </w:r>
                          </w:p>
                          <w:p>
                            <w:pPr>
                              <w:spacing w:line="560" w:lineRule="exact"/>
                              <w:jc w:val="center"/>
                              <w:rPr>
                                <w:rFonts w:ascii="黑体" w:hAnsi="黑体" w:eastAsia="黑体"/>
                                <w:sz w:val="28"/>
                                <w:szCs w:val="28"/>
                              </w:rPr>
                            </w:pPr>
                            <w:r>
                              <w:rPr>
                                <w:rFonts w:hint="eastAsia" w:ascii="黑体" w:hAnsi="黑体" w:eastAsia="黑体"/>
                                <w:sz w:val="28"/>
                                <w:szCs w:val="28"/>
                              </w:rPr>
                              <w:t>欢迎扫码反馈</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55pt;margin-top:579.8pt;height:73.85pt;width:259.95pt;z-index:251665408;v-text-anchor:middle;mso-width-relative:page;mso-height-relative:page;" filled="f" stroked="f" coordsize="21600,21600" o:gfxdata="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xtBvTbAAAADgEAAA8AAAAAAAAAAQAgAAAAIgAAAGRycy9kb3ducmV2LnhtbFBLAQIU&#10;ABQAAAAIAIdO4kBP29o1YgIAAK8EAAAOAAAAAAAAAAEAIAAAACoBAABkcnMvZTJvRG9jLnhtbFBL&#10;BQYAAAAABgAGAFkBAAD+BQAAAAA=&#10;">
                <v:fill on="f" focussize="0,0"/>
                <v:stroke on="f" weight="1pt" miterlimit="8" joinstyle="miter"/>
                <v:imagedata o:title=""/>
                <o:lock v:ext="edit" aspectratio="f"/>
                <v:textbox>
                  <w:txbxContent>
                    <w:p>
                      <w:pPr>
                        <w:spacing w:line="560" w:lineRule="exact"/>
                        <w:jc w:val="center"/>
                        <w:rPr>
                          <w:rFonts w:ascii="黑体" w:hAnsi="黑体" w:eastAsia="黑体"/>
                          <w:sz w:val="28"/>
                          <w:szCs w:val="28"/>
                        </w:rPr>
                      </w:pPr>
                      <w:r>
                        <w:rPr>
                          <w:rFonts w:hint="eastAsia" w:ascii="黑体" w:hAnsi="黑体" w:eastAsia="黑体"/>
                          <w:sz w:val="28"/>
                          <w:szCs w:val="28"/>
                        </w:rPr>
                        <w:t>如有任何意见建议</w:t>
                      </w:r>
                    </w:p>
                    <w:p>
                      <w:pPr>
                        <w:spacing w:line="560" w:lineRule="exact"/>
                        <w:jc w:val="center"/>
                        <w:rPr>
                          <w:rFonts w:ascii="黑体" w:hAnsi="黑体" w:eastAsia="黑体"/>
                          <w:sz w:val="28"/>
                          <w:szCs w:val="28"/>
                        </w:rPr>
                      </w:pPr>
                      <w:r>
                        <w:rPr>
                          <w:rFonts w:hint="eastAsia" w:ascii="黑体" w:hAnsi="黑体" w:eastAsia="黑体"/>
                          <w:sz w:val="28"/>
                          <w:szCs w:val="28"/>
                        </w:rPr>
                        <w:t>欢迎扫码反馈</w:t>
                      </w:r>
                    </w:p>
                    <w:p/>
                  </w:txbxContent>
                </v:textbox>
              </v:rect>
            </w:pict>
          </mc:Fallback>
        </mc:AlternateContent>
      </w:r>
      <w:r>
        <w:rPr>
          <w:rFonts w:ascii="Times New Roman" w:hAnsi="Times New Roman" w:eastAsia="楷体" w:cs="Times New Roman"/>
          <w:color w:val="000000"/>
          <w:sz w:val="32"/>
          <w:szCs w:val="32"/>
          <w:highlight w:val="none"/>
        </w:rPr>
        <w:drawing>
          <wp:anchor distT="0" distB="0" distL="114300" distR="114300" simplePos="0" relativeHeight="251663360" behindDoc="0" locked="0" layoutInCell="1" allowOverlap="1">
            <wp:simplePos x="0" y="0"/>
            <wp:positionH relativeFrom="column">
              <wp:posOffset>-1302385</wp:posOffset>
            </wp:positionH>
            <wp:positionV relativeFrom="paragraph">
              <wp:posOffset>-946150</wp:posOffset>
            </wp:positionV>
            <wp:extent cx="7772400" cy="10462260"/>
            <wp:effectExtent l="0" t="0" r="0" b="7620"/>
            <wp:wrapNone/>
            <wp:docPr id="17" name="图片 17" descr="D:\黄\2021\深交所\2022.3.10 会计监管动态\蓝色商务宣传画册封面.jpg蓝色商务宣传画册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黄\2021\深交所\2022.3.10 会计监管动态\蓝色商务宣传画册封面.jpg蓝色商务宣传画册封面"/>
                    <pic:cNvPicPr>
                      <a:picLocks noChangeAspect="1"/>
                    </pic:cNvPicPr>
                  </pic:nvPicPr>
                  <pic:blipFill>
                    <a:blip r:embed="rId20"/>
                    <a:srcRect r="50239"/>
                    <a:stretch>
                      <a:fillRect/>
                    </a:stretch>
                  </pic:blipFill>
                  <pic:spPr>
                    <a:xfrm>
                      <a:off x="0" y="0"/>
                      <a:ext cx="7772400" cy="10462068"/>
                    </a:xfrm>
                    <a:prstGeom prst="rect">
                      <a:avLst/>
                    </a:prstGeom>
                  </pic:spPr>
                </pic:pic>
              </a:graphicData>
            </a:graphic>
          </wp:anchor>
        </w:drawing>
      </w:r>
    </w:p>
    <w:p>
      <w:pPr>
        <w:pStyle w:val="2"/>
        <w:keepNext w:val="0"/>
        <w:keepLines w:val="0"/>
        <w:pageBreakBefore w:val="0"/>
        <w:kinsoku/>
        <w:wordWrap/>
        <w:bidi w:val="0"/>
        <w:spacing w:line="560" w:lineRule="exact"/>
        <w:rPr>
          <w:highlight w:val="none"/>
        </w:rPr>
      </w:pPr>
    </w:p>
    <w:p>
      <w:pPr>
        <w:keepNext w:val="0"/>
        <w:keepLines w:val="0"/>
        <w:pageBreakBefore w:val="0"/>
        <w:kinsoku/>
        <w:wordWrap/>
        <w:topLinePunct/>
        <w:bidi w:val="0"/>
        <w:spacing w:beforeLines="0" w:afterLines="0" w:line="560" w:lineRule="exact"/>
        <w:textAlignment w:val="center"/>
        <w:rPr>
          <w:rFonts w:ascii="Times New Roman" w:hAnsi="Times New Roman" w:eastAsia="楷体" w:cs="Times New Roman"/>
          <w:color w:val="000000"/>
          <w:sz w:val="32"/>
          <w:szCs w:val="32"/>
          <w:highlight w:val="none"/>
        </w:rPr>
      </w:pPr>
    </w:p>
    <w:sectPr>
      <w:headerReference r:id="rId10" w:type="default"/>
      <w:footerReference r:id="rId12" w:type="default"/>
      <w:headerReference r:id="rId11" w:type="even"/>
      <w:footerReference r:id="rId13" w:type="even"/>
      <w:pgSz w:w="11906" w:h="16157"/>
      <w:pgMar w:top="1440" w:right="1800" w:bottom="1440" w:left="1800" w:header="850" w:footer="1077" w:gutter="0"/>
      <w:pgNumType w:fmt="decimal"/>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Noto Sans Mono CJK JP Bold">
    <w:altName w:val="Arial"/>
    <w:panose1 w:val="00000000000000000000"/>
    <w:charset w:val="00"/>
    <w:family w:val="swiss"/>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方正黑体简体">
    <w:panose1 w:val="02000000000000000000"/>
    <w:charset w:val="86"/>
    <w:family w:val="auto"/>
    <w:pitch w:val="default"/>
    <w:sig w:usb0="00000001" w:usb1="08000000" w:usb2="00000000" w:usb3="00000000" w:csb0="00040000" w:csb1="00000000"/>
  </w:font>
  <w:font w:name="方正仿宋简体">
    <w:altName w:val="微软雅黑"/>
    <w:panose1 w:val="02010601030101010101"/>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rPr>
                        <w:rFonts w:hint="eastAsia"/>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cprw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6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BymvCwCAABZBAAADgAAAAAAAAABACAAAAAfAQAAZHJzL2Uyb0RvYy54bWxQSwUGAAAAAAYA&#10;BgBZAQAAvQUAAAAA&#10;">
              <v:fill on="f" focussize="0,0"/>
              <v:stroke on="f" weight="0.5pt"/>
              <v:imagedata o:title=""/>
              <o:lock v:ext="edit" aspectratio="f"/>
              <v:textbox inset="0mm,0mm,0mm,0mm" style="mso-fit-shape-to-text:t;">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10795"/>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both"/>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1"/>
                      <w:jc w:val="both"/>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10795"/>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both"/>
                            <w:rPr>
                              <w:rFonts w:ascii="Times New Roman" w:hAnsi="Times New Roman"/>
                              <w:sz w:val="28"/>
                              <w:szCs w:val="28"/>
                            </w:rPr>
                          </w:pPr>
                          <w:r>
                            <w:rPr>
                              <w:rFonts w:hint="eastAsia" w:ascii="Times New Roman" w:hAnsi="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rPr>
                              <w:rFonts w:hint="eastAsia" w:ascii="Times New Roman" w:hAnsi="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1"/>
                      <w:jc w:val="both"/>
                      <w:rPr>
                        <w:rFonts w:ascii="Times New Roman" w:hAnsi="Times New Roman"/>
                        <w:sz w:val="28"/>
                        <w:szCs w:val="28"/>
                      </w:rPr>
                    </w:pPr>
                    <w:r>
                      <w:rPr>
                        <w:rFonts w:hint="eastAsia" w:ascii="Times New Roman" w:hAnsi="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rPr>
                        <w:rFonts w:hint="eastAsia" w:ascii="Times New Roman" w:hAnsi="Times New Roman"/>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left"/>
      <w:rPr>
        <w:rFonts w:ascii="黑体" w:hAnsi="黑体" w:eastAsia="黑体" w:cs="黑体"/>
        <w:sz w:val="28"/>
        <w:szCs w:val="44"/>
      </w:rPr>
    </w:pPr>
    <w:r>
      <w:rPr>
        <w:rFonts w:hint="eastAsia" w:ascii="黑体" w:hAnsi="黑体" w:eastAsia="黑体" w:cs="黑体"/>
        <w:sz w:val="24"/>
        <w:szCs w:val="44"/>
      </w:rPr>
      <w:t>深圳证券交易所会计监管动态  202</w:t>
    </w:r>
    <w:r>
      <w:rPr>
        <w:rFonts w:hint="eastAsia" w:ascii="黑体" w:hAnsi="黑体" w:eastAsia="黑体" w:cs="黑体"/>
        <w:sz w:val="24"/>
        <w:szCs w:val="44"/>
        <w:lang w:val="en-US" w:eastAsia="zh-CN"/>
      </w:rPr>
      <w:t>5</w:t>
    </w:r>
    <w:r>
      <w:rPr>
        <w:rFonts w:hint="eastAsia" w:ascii="黑体" w:hAnsi="黑体" w:eastAsia="黑体" w:cs="黑体"/>
        <w:sz w:val="24"/>
        <w:szCs w:val="44"/>
      </w:rPr>
      <w:t>年第</w:t>
    </w:r>
    <w:r>
      <w:rPr>
        <w:rFonts w:hint="eastAsia" w:ascii="黑体" w:hAnsi="黑体" w:eastAsia="黑体" w:cs="黑体"/>
        <w:sz w:val="24"/>
        <w:szCs w:val="44"/>
        <w:lang w:val="en-US" w:eastAsia="zh-CN"/>
      </w:rPr>
      <w:t>4</w:t>
    </w:r>
    <w:r>
      <w:rPr>
        <w:rFonts w:hint="eastAsia" w:ascii="黑体" w:hAnsi="黑体" w:eastAsia="黑体" w:cs="黑体"/>
        <w:sz w:val="24"/>
        <w:szCs w:val="44"/>
      </w:rPr>
      <w:t>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left"/>
      <w:rPr>
        <w:rFonts w:ascii="黑体" w:hAnsi="黑体" w:eastAsia="黑体" w:cs="黑体"/>
        <w:sz w:val="28"/>
        <w:szCs w:val="4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mc:AlternateContent>
        <mc:Choice Requires="wpg">
          <w:drawing>
            <wp:anchor distT="0" distB="0" distL="114300" distR="114300" simplePos="0" relativeHeight="251661312" behindDoc="1" locked="0" layoutInCell="1" allowOverlap="1">
              <wp:simplePos x="0" y="0"/>
              <wp:positionH relativeFrom="page">
                <wp:posOffset>6355080</wp:posOffset>
              </wp:positionH>
              <wp:positionV relativeFrom="page">
                <wp:posOffset>391795</wp:posOffset>
              </wp:positionV>
              <wp:extent cx="304800" cy="346075"/>
              <wp:effectExtent l="0" t="0" r="0" b="0"/>
              <wp:wrapNone/>
              <wp:docPr id="20" name="组合 20"/>
              <wp:cNvGraphicFramePr/>
              <a:graphic xmlns:a="http://schemas.openxmlformats.org/drawingml/2006/main">
                <a:graphicData uri="http://schemas.microsoft.com/office/word/2010/wordprocessingGroup">
                  <wpg:wgp>
                    <wpg:cNvGrpSpPr/>
                    <wpg:grpSpPr>
                      <a:xfrm>
                        <a:off x="0" y="0"/>
                        <a:ext cx="304800" cy="346075"/>
                        <a:chOff x="10824" y="1020"/>
                        <a:chExt cx="281" cy="377"/>
                      </a:xfrm>
                    </wpg:grpSpPr>
                    <pic:pic xmlns:pic="http://schemas.openxmlformats.org/drawingml/2006/picture">
                      <pic:nvPicPr>
                        <pic:cNvPr id="21"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10842" y="1020"/>
                          <a:ext cx="129" cy="268"/>
                        </a:xfrm>
                        <a:prstGeom prst="rect">
                          <a:avLst/>
                        </a:prstGeom>
                        <a:noFill/>
                        <a:ln>
                          <a:noFill/>
                        </a:ln>
                      </pic:spPr>
                    </pic:pic>
                    <pic:pic xmlns:pic="http://schemas.openxmlformats.org/drawingml/2006/picture">
                      <pic:nvPicPr>
                        <pic:cNvPr id="22"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10824" y="1020"/>
                          <a:ext cx="142" cy="268"/>
                        </a:xfrm>
                        <a:prstGeom prst="rect">
                          <a:avLst/>
                        </a:prstGeom>
                        <a:noFill/>
                        <a:ln>
                          <a:noFill/>
                        </a:ln>
                      </pic:spPr>
                    </pic:pic>
                    <pic:pic xmlns:pic="http://schemas.openxmlformats.org/drawingml/2006/picture">
                      <pic:nvPicPr>
                        <pic:cNvPr id="23"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10844" y="1058"/>
                          <a:ext cx="261" cy="339"/>
                        </a:xfrm>
                        <a:prstGeom prst="rect">
                          <a:avLst/>
                        </a:prstGeom>
                        <a:noFill/>
                        <a:ln>
                          <a:noFill/>
                        </a:ln>
                      </pic:spPr>
                    </pic:pic>
                    <pic:pic xmlns:pic="http://schemas.openxmlformats.org/drawingml/2006/picture">
                      <pic:nvPicPr>
                        <pic:cNvPr id="24"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10844" y="1177"/>
                          <a:ext cx="129" cy="220"/>
                        </a:xfrm>
                        <a:prstGeom prst="rect">
                          <a:avLst/>
                        </a:prstGeom>
                        <a:noFill/>
                        <a:ln>
                          <a:noFill/>
                        </a:ln>
                      </pic:spPr>
                    </pic:pic>
                  </wpg:wgp>
                </a:graphicData>
              </a:graphic>
            </wp:anchor>
          </w:drawing>
        </mc:Choice>
        <mc:Fallback>
          <w:pict>
            <v:group id="_x0000_s1026" o:spid="_x0000_s1026" o:spt="203" style="position:absolute;left:0pt;margin-left:500.4pt;margin-top:30.85pt;height:27.25pt;width:24pt;mso-position-horizontal-relative:page;mso-position-vertical-relative:page;z-index:-251655168;mso-width-relative:page;mso-height-relative:page;" coordorigin="10824,1020" coordsize="281,377" o:gfxdata="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">
              <o:lock v:ext="edit" aspectratio="f"/>
              <v:shape id="Picture 4" o:spid="_x0000_s1026" o:spt="75" type="#_x0000_t75" style="position:absolute;left:10842;top:1020;height:268;width:129;" filled="f" o:preferrelative="t" stroked="f" coordsize="21600,21600" o:gfxdata="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B8u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Picture 5" o:spid="_x0000_s1026" o:spt="75" type="#_x0000_t75" style="position:absolute;left:10824;top:1020;height:268;width:142;" filled="f" o:preferrelative="t" stroked="f" coordsize="21600,21600" o:gfxdata="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uxVr4A&#10;AADbAAAADwAAAAAAAAABACAAAAAiAAAAZHJzL2Rvd25yZXYueG1sUEsBAhQAFAAAAAgAh07iQDMv&#10;BZ47AAAAOQAAABAAAAAAAAAAAQAgAAAADQEAAGRycy9zaGFwZXhtbC54bWxQSwUGAAAAAAYABgBb&#10;AQAAtwMAAAAA&#10;">
                <v:fill on="f" focussize="0,0"/>
                <v:stroke on="f"/>
                <v:imagedata r:id="rId2" o:title=""/>
                <o:lock v:ext="edit" aspectratio="t"/>
              </v:shape>
              <v:shape id="Picture 6" o:spid="_x0000_s1026" o:spt="75" type="#_x0000_t75" style="position:absolute;left:10844;top:1058;height:339;width:261;" filled="f" o:preferrelative="t" stroked="f" coordsize="21600,21600" o:gfxdata="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x0X74A&#10;AADbAAAADwAAAAAAAAABACAAAAAiAAAAZHJzL2Rvd25yZXYueG1sUEsBAhQAFAAAAAgAh07iQDMv&#10;BZ47AAAAOQAAABAAAAAAAAAAAQAgAAAADQEAAGRycy9zaGFwZXhtbC54bWxQSwUGAAAAAAYABgBb&#10;AQAAtwMAAAAA&#10;">
                <v:fill on="f" focussize="0,0"/>
                <v:stroke on="f"/>
                <v:imagedata r:id="rId3" o:title=""/>
                <o:lock v:ext="edit" aspectratio="t"/>
              </v:shape>
              <v:shape id="Picture 7" o:spid="_x0000_s1026" o:spt="75" type="#_x0000_t75" style="position:absolute;left:10844;top:1177;height:220;width:129;" filled="f" o:preferrelative="t" stroked="f" coordsize="21600,21600" o:gfxdata="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ZTlb4A&#10;AADbAAAADwAAAAAAAAABACAAAAAiAAAAZHJzL2Rvd25yZXYueG1sUEsBAhQAFAAAAAgAh07iQDMv&#10;BZ47AAAAOQAAABAAAAAAAAAAAQAgAAAADQEAAGRycy9zaGFwZXhtbC54bWxQSwUGAAAAAAYABgBb&#10;AQAAtwMAAAAA&#10;">
                <v:fill on="f" focussize="0,0"/>
                <v:stroke on="f"/>
                <v:imagedata r:id="rId4" o:title=""/>
                <o:lock v:ext="edit" aspectratio="t"/>
              </v:shape>
            </v:group>
          </w:pict>
        </mc:Fallback>
      </mc:AlternateContent>
    </w:r>
    <w:r>
      <w:drawing>
        <wp:anchor distT="0" distB="0" distL="0" distR="0" simplePos="0" relativeHeight="251660288" behindDoc="1" locked="0" layoutInCell="1" allowOverlap="1">
          <wp:simplePos x="0" y="0"/>
          <wp:positionH relativeFrom="page">
            <wp:posOffset>5482590</wp:posOffset>
          </wp:positionH>
          <wp:positionV relativeFrom="page">
            <wp:posOffset>556260</wp:posOffset>
          </wp:positionV>
          <wp:extent cx="822960" cy="311150"/>
          <wp:effectExtent l="0" t="0" r="0" b="0"/>
          <wp:wrapNone/>
          <wp:docPr id="12"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0.png"/>
                  <pic:cNvPicPr>
                    <a:picLocks noChangeAspect="1"/>
                  </pic:cNvPicPr>
                </pic:nvPicPr>
                <pic:blipFill>
                  <a:blip r:embed="rId5" cstate="print"/>
                  <a:stretch>
                    <a:fillRect/>
                  </a:stretch>
                </pic:blipFill>
                <pic:spPr>
                  <a:xfrm>
                    <a:off x="0" y="0"/>
                    <a:ext cx="822960" cy="3111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E9EEB1"/>
    <w:multiLevelType w:val="singleLevel"/>
    <w:tmpl w:val="E2E9EEB1"/>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bordersDoNotSurroundHeader w:val="1"/>
  <w:bordersDoNotSurroundFooter w:val="1"/>
  <w:documentProtection w:enforcement="0"/>
  <w:defaultTabStop w:val="420"/>
  <w:drawingGridHorizontalSpacing w:val="105"/>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95"/>
    <w:rsid w:val="000010E4"/>
    <w:rsid w:val="000015DC"/>
    <w:rsid w:val="000031B8"/>
    <w:rsid w:val="00006751"/>
    <w:rsid w:val="00007289"/>
    <w:rsid w:val="000077B4"/>
    <w:rsid w:val="00012619"/>
    <w:rsid w:val="000139BA"/>
    <w:rsid w:val="00015143"/>
    <w:rsid w:val="000155B7"/>
    <w:rsid w:val="00020DE7"/>
    <w:rsid w:val="0002533D"/>
    <w:rsid w:val="000257B9"/>
    <w:rsid w:val="00026112"/>
    <w:rsid w:val="00026E41"/>
    <w:rsid w:val="000344CF"/>
    <w:rsid w:val="00034D49"/>
    <w:rsid w:val="000364FA"/>
    <w:rsid w:val="000371F3"/>
    <w:rsid w:val="00037667"/>
    <w:rsid w:val="00037932"/>
    <w:rsid w:val="00040694"/>
    <w:rsid w:val="00047622"/>
    <w:rsid w:val="00047807"/>
    <w:rsid w:val="00047A07"/>
    <w:rsid w:val="0005151C"/>
    <w:rsid w:val="00052E31"/>
    <w:rsid w:val="00054E93"/>
    <w:rsid w:val="000578D4"/>
    <w:rsid w:val="00062007"/>
    <w:rsid w:val="00062244"/>
    <w:rsid w:val="00066D35"/>
    <w:rsid w:val="00066E81"/>
    <w:rsid w:val="00067EC6"/>
    <w:rsid w:val="00071662"/>
    <w:rsid w:val="00072DDA"/>
    <w:rsid w:val="00073124"/>
    <w:rsid w:val="00075A68"/>
    <w:rsid w:val="000764DE"/>
    <w:rsid w:val="00077603"/>
    <w:rsid w:val="000804E3"/>
    <w:rsid w:val="00080977"/>
    <w:rsid w:val="00080EC7"/>
    <w:rsid w:val="00083C23"/>
    <w:rsid w:val="00090E6F"/>
    <w:rsid w:val="00094644"/>
    <w:rsid w:val="000949DE"/>
    <w:rsid w:val="00096211"/>
    <w:rsid w:val="0009649A"/>
    <w:rsid w:val="000971FB"/>
    <w:rsid w:val="000A0533"/>
    <w:rsid w:val="000A089B"/>
    <w:rsid w:val="000A0ECF"/>
    <w:rsid w:val="000A36A1"/>
    <w:rsid w:val="000A4D11"/>
    <w:rsid w:val="000A61D6"/>
    <w:rsid w:val="000A64D9"/>
    <w:rsid w:val="000A7439"/>
    <w:rsid w:val="000B03E6"/>
    <w:rsid w:val="000B08B1"/>
    <w:rsid w:val="000B13BB"/>
    <w:rsid w:val="000B207A"/>
    <w:rsid w:val="000B2F72"/>
    <w:rsid w:val="000B4698"/>
    <w:rsid w:val="000B770F"/>
    <w:rsid w:val="000C02B5"/>
    <w:rsid w:val="000C2025"/>
    <w:rsid w:val="000C214A"/>
    <w:rsid w:val="000C37FB"/>
    <w:rsid w:val="000C618A"/>
    <w:rsid w:val="000E0EA3"/>
    <w:rsid w:val="000E3F6A"/>
    <w:rsid w:val="000E4F70"/>
    <w:rsid w:val="000E6806"/>
    <w:rsid w:val="000E7E2D"/>
    <w:rsid w:val="000F5378"/>
    <w:rsid w:val="000F670B"/>
    <w:rsid w:val="000F724C"/>
    <w:rsid w:val="000F733C"/>
    <w:rsid w:val="00100AC0"/>
    <w:rsid w:val="001049A0"/>
    <w:rsid w:val="001142F4"/>
    <w:rsid w:val="00117E42"/>
    <w:rsid w:val="00117F36"/>
    <w:rsid w:val="00121056"/>
    <w:rsid w:val="00121F87"/>
    <w:rsid w:val="001250D8"/>
    <w:rsid w:val="00127A67"/>
    <w:rsid w:val="001310E7"/>
    <w:rsid w:val="00131186"/>
    <w:rsid w:val="00132878"/>
    <w:rsid w:val="00137CC0"/>
    <w:rsid w:val="001413AC"/>
    <w:rsid w:val="00141414"/>
    <w:rsid w:val="00142808"/>
    <w:rsid w:val="00142BF9"/>
    <w:rsid w:val="00144B3D"/>
    <w:rsid w:val="0015395D"/>
    <w:rsid w:val="00155034"/>
    <w:rsid w:val="00160593"/>
    <w:rsid w:val="00160B66"/>
    <w:rsid w:val="00162416"/>
    <w:rsid w:val="00162714"/>
    <w:rsid w:val="00163513"/>
    <w:rsid w:val="0016396C"/>
    <w:rsid w:val="001648C3"/>
    <w:rsid w:val="00164C4C"/>
    <w:rsid w:val="00166F06"/>
    <w:rsid w:val="00172464"/>
    <w:rsid w:val="00172978"/>
    <w:rsid w:val="00175DC9"/>
    <w:rsid w:val="00177083"/>
    <w:rsid w:val="0018054D"/>
    <w:rsid w:val="001821F5"/>
    <w:rsid w:val="00182E7C"/>
    <w:rsid w:val="0018511A"/>
    <w:rsid w:val="001856F6"/>
    <w:rsid w:val="001876D1"/>
    <w:rsid w:val="00190ADB"/>
    <w:rsid w:val="001956C6"/>
    <w:rsid w:val="001A1D6B"/>
    <w:rsid w:val="001A329E"/>
    <w:rsid w:val="001A448F"/>
    <w:rsid w:val="001A4AB8"/>
    <w:rsid w:val="001B2493"/>
    <w:rsid w:val="001B3194"/>
    <w:rsid w:val="001B51D8"/>
    <w:rsid w:val="001B58DF"/>
    <w:rsid w:val="001B61A9"/>
    <w:rsid w:val="001B61DF"/>
    <w:rsid w:val="001C04AD"/>
    <w:rsid w:val="001C4F77"/>
    <w:rsid w:val="001C7451"/>
    <w:rsid w:val="001D1681"/>
    <w:rsid w:val="001D2348"/>
    <w:rsid w:val="001D2B4D"/>
    <w:rsid w:val="001D516C"/>
    <w:rsid w:val="001D5B40"/>
    <w:rsid w:val="001E3798"/>
    <w:rsid w:val="001E7368"/>
    <w:rsid w:val="001E77D7"/>
    <w:rsid w:val="001E79C3"/>
    <w:rsid w:val="001F3449"/>
    <w:rsid w:val="001F49E3"/>
    <w:rsid w:val="0020482D"/>
    <w:rsid w:val="002059EE"/>
    <w:rsid w:val="00215948"/>
    <w:rsid w:val="00217692"/>
    <w:rsid w:val="002238D4"/>
    <w:rsid w:val="00224DD5"/>
    <w:rsid w:val="00225211"/>
    <w:rsid w:val="002258D1"/>
    <w:rsid w:val="002305EB"/>
    <w:rsid w:val="002319C5"/>
    <w:rsid w:val="00235862"/>
    <w:rsid w:val="00243CF2"/>
    <w:rsid w:val="00243E77"/>
    <w:rsid w:val="002460B6"/>
    <w:rsid w:val="002467C1"/>
    <w:rsid w:val="00250009"/>
    <w:rsid w:val="0025307D"/>
    <w:rsid w:val="002533EC"/>
    <w:rsid w:val="00253845"/>
    <w:rsid w:val="002544D1"/>
    <w:rsid w:val="002554ED"/>
    <w:rsid w:val="00261537"/>
    <w:rsid w:val="002635CA"/>
    <w:rsid w:val="002679B6"/>
    <w:rsid w:val="00274482"/>
    <w:rsid w:val="0027515F"/>
    <w:rsid w:val="00275AA3"/>
    <w:rsid w:val="00277A2C"/>
    <w:rsid w:val="00287DAD"/>
    <w:rsid w:val="00290922"/>
    <w:rsid w:val="00292F92"/>
    <w:rsid w:val="002935A1"/>
    <w:rsid w:val="00294F07"/>
    <w:rsid w:val="0029522D"/>
    <w:rsid w:val="002953D0"/>
    <w:rsid w:val="00295498"/>
    <w:rsid w:val="0029625C"/>
    <w:rsid w:val="0029789F"/>
    <w:rsid w:val="00297FFB"/>
    <w:rsid w:val="002A0F6A"/>
    <w:rsid w:val="002A4E55"/>
    <w:rsid w:val="002B037A"/>
    <w:rsid w:val="002B124F"/>
    <w:rsid w:val="002B1F5B"/>
    <w:rsid w:val="002B27C9"/>
    <w:rsid w:val="002B7C65"/>
    <w:rsid w:val="002C1196"/>
    <w:rsid w:val="002C128F"/>
    <w:rsid w:val="002C2977"/>
    <w:rsid w:val="002C38DC"/>
    <w:rsid w:val="002C745B"/>
    <w:rsid w:val="002C7A7A"/>
    <w:rsid w:val="002D2850"/>
    <w:rsid w:val="002D4D57"/>
    <w:rsid w:val="002E0C8F"/>
    <w:rsid w:val="002E1751"/>
    <w:rsid w:val="002E21FA"/>
    <w:rsid w:val="002E36F8"/>
    <w:rsid w:val="002E4309"/>
    <w:rsid w:val="002E5964"/>
    <w:rsid w:val="002E6600"/>
    <w:rsid w:val="002F2849"/>
    <w:rsid w:val="002F4045"/>
    <w:rsid w:val="002F41C6"/>
    <w:rsid w:val="00307AD6"/>
    <w:rsid w:val="00310B94"/>
    <w:rsid w:val="0031475B"/>
    <w:rsid w:val="00320529"/>
    <w:rsid w:val="003207B2"/>
    <w:rsid w:val="0032457A"/>
    <w:rsid w:val="00325EB5"/>
    <w:rsid w:val="00334B6F"/>
    <w:rsid w:val="003364E6"/>
    <w:rsid w:val="003369E1"/>
    <w:rsid w:val="00343691"/>
    <w:rsid w:val="00344A53"/>
    <w:rsid w:val="00345C3B"/>
    <w:rsid w:val="0034635D"/>
    <w:rsid w:val="00346E60"/>
    <w:rsid w:val="003567F9"/>
    <w:rsid w:val="003574DB"/>
    <w:rsid w:val="0036011A"/>
    <w:rsid w:val="003618C8"/>
    <w:rsid w:val="00361B3C"/>
    <w:rsid w:val="003627F2"/>
    <w:rsid w:val="00364DB6"/>
    <w:rsid w:val="00366973"/>
    <w:rsid w:val="00366993"/>
    <w:rsid w:val="003730F5"/>
    <w:rsid w:val="0037567B"/>
    <w:rsid w:val="0037659C"/>
    <w:rsid w:val="00377C0C"/>
    <w:rsid w:val="00381AA1"/>
    <w:rsid w:val="00381CD3"/>
    <w:rsid w:val="00383252"/>
    <w:rsid w:val="00384A1C"/>
    <w:rsid w:val="00385DA3"/>
    <w:rsid w:val="00390AA7"/>
    <w:rsid w:val="00390EAF"/>
    <w:rsid w:val="00391C5D"/>
    <w:rsid w:val="00392A3D"/>
    <w:rsid w:val="0039342F"/>
    <w:rsid w:val="00396ED2"/>
    <w:rsid w:val="0039736C"/>
    <w:rsid w:val="003A0798"/>
    <w:rsid w:val="003A2598"/>
    <w:rsid w:val="003A27E5"/>
    <w:rsid w:val="003A6504"/>
    <w:rsid w:val="003B1707"/>
    <w:rsid w:val="003B2B3B"/>
    <w:rsid w:val="003B2C98"/>
    <w:rsid w:val="003B4028"/>
    <w:rsid w:val="003B4E2D"/>
    <w:rsid w:val="003C3564"/>
    <w:rsid w:val="003C39CC"/>
    <w:rsid w:val="003C47FE"/>
    <w:rsid w:val="003C48B6"/>
    <w:rsid w:val="003D0D6F"/>
    <w:rsid w:val="003D480E"/>
    <w:rsid w:val="003D653F"/>
    <w:rsid w:val="003E2176"/>
    <w:rsid w:val="003E2EB9"/>
    <w:rsid w:val="003E403D"/>
    <w:rsid w:val="003E4512"/>
    <w:rsid w:val="003F4815"/>
    <w:rsid w:val="004052C6"/>
    <w:rsid w:val="004073AC"/>
    <w:rsid w:val="00407873"/>
    <w:rsid w:val="0041223B"/>
    <w:rsid w:val="004124FF"/>
    <w:rsid w:val="00413D90"/>
    <w:rsid w:val="00414DFA"/>
    <w:rsid w:val="0042217C"/>
    <w:rsid w:val="00423229"/>
    <w:rsid w:val="00424AC2"/>
    <w:rsid w:val="004304BF"/>
    <w:rsid w:val="004365E4"/>
    <w:rsid w:val="004368FD"/>
    <w:rsid w:val="00436913"/>
    <w:rsid w:val="00441269"/>
    <w:rsid w:val="00441744"/>
    <w:rsid w:val="004500D6"/>
    <w:rsid w:val="00450584"/>
    <w:rsid w:val="00453487"/>
    <w:rsid w:val="00453966"/>
    <w:rsid w:val="00453DF0"/>
    <w:rsid w:val="00454C77"/>
    <w:rsid w:val="004552A2"/>
    <w:rsid w:val="004610F3"/>
    <w:rsid w:val="00462510"/>
    <w:rsid w:val="004661AC"/>
    <w:rsid w:val="0046746F"/>
    <w:rsid w:val="0047039A"/>
    <w:rsid w:val="00470979"/>
    <w:rsid w:val="00471595"/>
    <w:rsid w:val="00474103"/>
    <w:rsid w:val="0048171A"/>
    <w:rsid w:val="0048296F"/>
    <w:rsid w:val="004860E5"/>
    <w:rsid w:val="00494B5C"/>
    <w:rsid w:val="004969FC"/>
    <w:rsid w:val="004A0649"/>
    <w:rsid w:val="004A0CCD"/>
    <w:rsid w:val="004A1675"/>
    <w:rsid w:val="004A3855"/>
    <w:rsid w:val="004A4FA5"/>
    <w:rsid w:val="004A559B"/>
    <w:rsid w:val="004A596E"/>
    <w:rsid w:val="004B0B55"/>
    <w:rsid w:val="004B5D25"/>
    <w:rsid w:val="004C0325"/>
    <w:rsid w:val="004C3224"/>
    <w:rsid w:val="004C3597"/>
    <w:rsid w:val="004C64E6"/>
    <w:rsid w:val="004C6C31"/>
    <w:rsid w:val="004C7062"/>
    <w:rsid w:val="004C7834"/>
    <w:rsid w:val="004D7007"/>
    <w:rsid w:val="004E2E4B"/>
    <w:rsid w:val="004E4CB7"/>
    <w:rsid w:val="004E65EF"/>
    <w:rsid w:val="004E7BFD"/>
    <w:rsid w:val="004F0192"/>
    <w:rsid w:val="004F01D8"/>
    <w:rsid w:val="004F2009"/>
    <w:rsid w:val="004F4D85"/>
    <w:rsid w:val="004F541B"/>
    <w:rsid w:val="005051B1"/>
    <w:rsid w:val="00505C08"/>
    <w:rsid w:val="00506C67"/>
    <w:rsid w:val="00507E03"/>
    <w:rsid w:val="005131DE"/>
    <w:rsid w:val="005131E3"/>
    <w:rsid w:val="0051397A"/>
    <w:rsid w:val="00514FAC"/>
    <w:rsid w:val="00517E52"/>
    <w:rsid w:val="0052040D"/>
    <w:rsid w:val="005216E8"/>
    <w:rsid w:val="005219C0"/>
    <w:rsid w:val="00522D72"/>
    <w:rsid w:val="0052304C"/>
    <w:rsid w:val="005268CF"/>
    <w:rsid w:val="00526B4D"/>
    <w:rsid w:val="00533C92"/>
    <w:rsid w:val="005360A2"/>
    <w:rsid w:val="00541B6B"/>
    <w:rsid w:val="00541EDC"/>
    <w:rsid w:val="00542246"/>
    <w:rsid w:val="00542616"/>
    <w:rsid w:val="0054264C"/>
    <w:rsid w:val="00543D9B"/>
    <w:rsid w:val="00544B34"/>
    <w:rsid w:val="00547600"/>
    <w:rsid w:val="00550E11"/>
    <w:rsid w:val="00551CA5"/>
    <w:rsid w:val="0055451A"/>
    <w:rsid w:val="00555839"/>
    <w:rsid w:val="005604BB"/>
    <w:rsid w:val="005615FB"/>
    <w:rsid w:val="00565175"/>
    <w:rsid w:val="0056526C"/>
    <w:rsid w:val="00565F67"/>
    <w:rsid w:val="00570BB3"/>
    <w:rsid w:val="005771B8"/>
    <w:rsid w:val="005801B7"/>
    <w:rsid w:val="00584216"/>
    <w:rsid w:val="005867AF"/>
    <w:rsid w:val="00587C07"/>
    <w:rsid w:val="0059318C"/>
    <w:rsid w:val="0059445E"/>
    <w:rsid w:val="00594CE3"/>
    <w:rsid w:val="005A198A"/>
    <w:rsid w:val="005A238A"/>
    <w:rsid w:val="005A3FC0"/>
    <w:rsid w:val="005A589F"/>
    <w:rsid w:val="005A6334"/>
    <w:rsid w:val="005A6414"/>
    <w:rsid w:val="005A7474"/>
    <w:rsid w:val="005B1969"/>
    <w:rsid w:val="005B1BBD"/>
    <w:rsid w:val="005B3E09"/>
    <w:rsid w:val="005B570C"/>
    <w:rsid w:val="005B58AF"/>
    <w:rsid w:val="005C0F1C"/>
    <w:rsid w:val="005C299F"/>
    <w:rsid w:val="005C4E34"/>
    <w:rsid w:val="005C4FE1"/>
    <w:rsid w:val="005C50B6"/>
    <w:rsid w:val="005C6B09"/>
    <w:rsid w:val="005D4CC7"/>
    <w:rsid w:val="005E2E79"/>
    <w:rsid w:val="005E35FD"/>
    <w:rsid w:val="005E4903"/>
    <w:rsid w:val="005E68E2"/>
    <w:rsid w:val="005F2914"/>
    <w:rsid w:val="005F4047"/>
    <w:rsid w:val="005F48AB"/>
    <w:rsid w:val="005F6DB8"/>
    <w:rsid w:val="005F78EB"/>
    <w:rsid w:val="005F7F70"/>
    <w:rsid w:val="00605026"/>
    <w:rsid w:val="00605F54"/>
    <w:rsid w:val="00606253"/>
    <w:rsid w:val="00606B3D"/>
    <w:rsid w:val="00607C0B"/>
    <w:rsid w:val="00607DAD"/>
    <w:rsid w:val="00610E06"/>
    <w:rsid w:val="00613A65"/>
    <w:rsid w:val="0061406A"/>
    <w:rsid w:val="006140FE"/>
    <w:rsid w:val="0061455D"/>
    <w:rsid w:val="00615A38"/>
    <w:rsid w:val="00615B28"/>
    <w:rsid w:val="006166C9"/>
    <w:rsid w:val="00620E20"/>
    <w:rsid w:val="00623988"/>
    <w:rsid w:val="00625FBE"/>
    <w:rsid w:val="00635A25"/>
    <w:rsid w:val="00636699"/>
    <w:rsid w:val="006422CA"/>
    <w:rsid w:val="00644181"/>
    <w:rsid w:val="0064434E"/>
    <w:rsid w:val="00656DCF"/>
    <w:rsid w:val="00673A41"/>
    <w:rsid w:val="00673BA2"/>
    <w:rsid w:val="00675BA7"/>
    <w:rsid w:val="00681D31"/>
    <w:rsid w:val="00682071"/>
    <w:rsid w:val="0068239A"/>
    <w:rsid w:val="006831C1"/>
    <w:rsid w:val="0068375F"/>
    <w:rsid w:val="00684C16"/>
    <w:rsid w:val="006855F1"/>
    <w:rsid w:val="0068791E"/>
    <w:rsid w:val="006914D9"/>
    <w:rsid w:val="00691AAB"/>
    <w:rsid w:val="00691ECC"/>
    <w:rsid w:val="00691FBF"/>
    <w:rsid w:val="0069473B"/>
    <w:rsid w:val="006A198A"/>
    <w:rsid w:val="006A52D4"/>
    <w:rsid w:val="006A73CB"/>
    <w:rsid w:val="006A73D8"/>
    <w:rsid w:val="006A74ED"/>
    <w:rsid w:val="006B06E8"/>
    <w:rsid w:val="006B08E3"/>
    <w:rsid w:val="006B1D7B"/>
    <w:rsid w:val="006B44C5"/>
    <w:rsid w:val="006B5031"/>
    <w:rsid w:val="006B79E2"/>
    <w:rsid w:val="006C184D"/>
    <w:rsid w:val="006C20A1"/>
    <w:rsid w:val="006C6CBA"/>
    <w:rsid w:val="006C783F"/>
    <w:rsid w:val="006C7878"/>
    <w:rsid w:val="006D1790"/>
    <w:rsid w:val="006D43A7"/>
    <w:rsid w:val="006D4E44"/>
    <w:rsid w:val="006D527F"/>
    <w:rsid w:val="006D64AE"/>
    <w:rsid w:val="006D6ED7"/>
    <w:rsid w:val="006E0F8B"/>
    <w:rsid w:val="006E2A87"/>
    <w:rsid w:val="006E3A14"/>
    <w:rsid w:val="006E44C2"/>
    <w:rsid w:val="006E4BE3"/>
    <w:rsid w:val="006E5271"/>
    <w:rsid w:val="006E5DF5"/>
    <w:rsid w:val="006F0FAC"/>
    <w:rsid w:val="006F2015"/>
    <w:rsid w:val="006F2E34"/>
    <w:rsid w:val="006F38CD"/>
    <w:rsid w:val="006F4DE3"/>
    <w:rsid w:val="006F5AD7"/>
    <w:rsid w:val="007006DC"/>
    <w:rsid w:val="00701AA9"/>
    <w:rsid w:val="00704836"/>
    <w:rsid w:val="00704DB8"/>
    <w:rsid w:val="00704F91"/>
    <w:rsid w:val="00705AAB"/>
    <w:rsid w:val="00710B10"/>
    <w:rsid w:val="007120D9"/>
    <w:rsid w:val="00713AB3"/>
    <w:rsid w:val="00716CEA"/>
    <w:rsid w:val="007174DA"/>
    <w:rsid w:val="007230DD"/>
    <w:rsid w:val="00725396"/>
    <w:rsid w:val="00725DCA"/>
    <w:rsid w:val="00730635"/>
    <w:rsid w:val="00735182"/>
    <w:rsid w:val="00736B7A"/>
    <w:rsid w:val="0073714C"/>
    <w:rsid w:val="00743CB6"/>
    <w:rsid w:val="00747098"/>
    <w:rsid w:val="00752D3E"/>
    <w:rsid w:val="0075358E"/>
    <w:rsid w:val="007544F9"/>
    <w:rsid w:val="0075506F"/>
    <w:rsid w:val="007617C8"/>
    <w:rsid w:val="0076202E"/>
    <w:rsid w:val="0076338F"/>
    <w:rsid w:val="00764075"/>
    <w:rsid w:val="00765D7D"/>
    <w:rsid w:val="00767550"/>
    <w:rsid w:val="007679B5"/>
    <w:rsid w:val="007706A8"/>
    <w:rsid w:val="0077097E"/>
    <w:rsid w:val="0077430A"/>
    <w:rsid w:val="007754E1"/>
    <w:rsid w:val="00776085"/>
    <w:rsid w:val="00783BF2"/>
    <w:rsid w:val="00785CA5"/>
    <w:rsid w:val="0078612C"/>
    <w:rsid w:val="00786552"/>
    <w:rsid w:val="00787552"/>
    <w:rsid w:val="00787B61"/>
    <w:rsid w:val="00787D2F"/>
    <w:rsid w:val="007913B4"/>
    <w:rsid w:val="007915BC"/>
    <w:rsid w:val="00794929"/>
    <w:rsid w:val="00794C64"/>
    <w:rsid w:val="00795877"/>
    <w:rsid w:val="007A54BD"/>
    <w:rsid w:val="007A74E7"/>
    <w:rsid w:val="007A7726"/>
    <w:rsid w:val="007A7F93"/>
    <w:rsid w:val="007B1EFC"/>
    <w:rsid w:val="007B3066"/>
    <w:rsid w:val="007B31DB"/>
    <w:rsid w:val="007B343F"/>
    <w:rsid w:val="007B7980"/>
    <w:rsid w:val="007D1569"/>
    <w:rsid w:val="007D17A2"/>
    <w:rsid w:val="007D31EA"/>
    <w:rsid w:val="007D3417"/>
    <w:rsid w:val="007D4699"/>
    <w:rsid w:val="007D53F5"/>
    <w:rsid w:val="007D679C"/>
    <w:rsid w:val="007D747E"/>
    <w:rsid w:val="007E2F6E"/>
    <w:rsid w:val="007E331C"/>
    <w:rsid w:val="007E7676"/>
    <w:rsid w:val="007F4246"/>
    <w:rsid w:val="007F4884"/>
    <w:rsid w:val="007F49E3"/>
    <w:rsid w:val="007F57FD"/>
    <w:rsid w:val="007F7EA7"/>
    <w:rsid w:val="00811E59"/>
    <w:rsid w:val="00812AC9"/>
    <w:rsid w:val="00813538"/>
    <w:rsid w:val="008163E2"/>
    <w:rsid w:val="00816E40"/>
    <w:rsid w:val="00821C2D"/>
    <w:rsid w:val="00824495"/>
    <w:rsid w:val="00825267"/>
    <w:rsid w:val="0082649E"/>
    <w:rsid w:val="00831449"/>
    <w:rsid w:val="00835540"/>
    <w:rsid w:val="00837E8A"/>
    <w:rsid w:val="00841742"/>
    <w:rsid w:val="00841DAB"/>
    <w:rsid w:val="00842C53"/>
    <w:rsid w:val="00843084"/>
    <w:rsid w:val="0084389B"/>
    <w:rsid w:val="00844FB5"/>
    <w:rsid w:val="008453F4"/>
    <w:rsid w:val="00846A93"/>
    <w:rsid w:val="00847707"/>
    <w:rsid w:val="0085341E"/>
    <w:rsid w:val="0085406F"/>
    <w:rsid w:val="008573B8"/>
    <w:rsid w:val="0086140C"/>
    <w:rsid w:val="008623EF"/>
    <w:rsid w:val="00862C98"/>
    <w:rsid w:val="00863ED4"/>
    <w:rsid w:val="0086567E"/>
    <w:rsid w:val="00867B7F"/>
    <w:rsid w:val="0087164F"/>
    <w:rsid w:val="008737E1"/>
    <w:rsid w:val="00875AA9"/>
    <w:rsid w:val="00885830"/>
    <w:rsid w:val="00887964"/>
    <w:rsid w:val="00890E6E"/>
    <w:rsid w:val="00891ABF"/>
    <w:rsid w:val="00892324"/>
    <w:rsid w:val="0089668E"/>
    <w:rsid w:val="00897A70"/>
    <w:rsid w:val="008A018F"/>
    <w:rsid w:val="008A5C69"/>
    <w:rsid w:val="008B220A"/>
    <w:rsid w:val="008B45F0"/>
    <w:rsid w:val="008B485A"/>
    <w:rsid w:val="008B5791"/>
    <w:rsid w:val="008B5FC8"/>
    <w:rsid w:val="008B67B6"/>
    <w:rsid w:val="008C371D"/>
    <w:rsid w:val="008C4773"/>
    <w:rsid w:val="008C49AB"/>
    <w:rsid w:val="008C4E8D"/>
    <w:rsid w:val="008C5B62"/>
    <w:rsid w:val="008C7AEF"/>
    <w:rsid w:val="008D160F"/>
    <w:rsid w:val="008D2827"/>
    <w:rsid w:val="008D3799"/>
    <w:rsid w:val="008D563E"/>
    <w:rsid w:val="008E22FE"/>
    <w:rsid w:val="008E478F"/>
    <w:rsid w:val="008E6847"/>
    <w:rsid w:val="008E7E28"/>
    <w:rsid w:val="008F16CE"/>
    <w:rsid w:val="008F28CE"/>
    <w:rsid w:val="008F546F"/>
    <w:rsid w:val="008F6D01"/>
    <w:rsid w:val="008F6F69"/>
    <w:rsid w:val="00904642"/>
    <w:rsid w:val="00905F3B"/>
    <w:rsid w:val="0090678F"/>
    <w:rsid w:val="009072C8"/>
    <w:rsid w:val="00913128"/>
    <w:rsid w:val="00913441"/>
    <w:rsid w:val="009144F2"/>
    <w:rsid w:val="00915603"/>
    <w:rsid w:val="00917881"/>
    <w:rsid w:val="009268C5"/>
    <w:rsid w:val="00933517"/>
    <w:rsid w:val="00933FDE"/>
    <w:rsid w:val="00942DD0"/>
    <w:rsid w:val="00943E8A"/>
    <w:rsid w:val="0094547D"/>
    <w:rsid w:val="00945E6E"/>
    <w:rsid w:val="009520C2"/>
    <w:rsid w:val="00953D6D"/>
    <w:rsid w:val="009549DF"/>
    <w:rsid w:val="00954C8B"/>
    <w:rsid w:val="00961B52"/>
    <w:rsid w:val="00962E87"/>
    <w:rsid w:val="00963CEF"/>
    <w:rsid w:val="00964EC4"/>
    <w:rsid w:val="00964FF0"/>
    <w:rsid w:val="0096691F"/>
    <w:rsid w:val="00970586"/>
    <w:rsid w:val="00970906"/>
    <w:rsid w:val="00971229"/>
    <w:rsid w:val="0097288F"/>
    <w:rsid w:val="00980500"/>
    <w:rsid w:val="009821D5"/>
    <w:rsid w:val="00984E97"/>
    <w:rsid w:val="00985966"/>
    <w:rsid w:val="00985F71"/>
    <w:rsid w:val="009863C4"/>
    <w:rsid w:val="00986582"/>
    <w:rsid w:val="00986F0D"/>
    <w:rsid w:val="00992042"/>
    <w:rsid w:val="009A224E"/>
    <w:rsid w:val="009A7690"/>
    <w:rsid w:val="009B19BA"/>
    <w:rsid w:val="009B24DD"/>
    <w:rsid w:val="009B296E"/>
    <w:rsid w:val="009B5535"/>
    <w:rsid w:val="009B5929"/>
    <w:rsid w:val="009B5F58"/>
    <w:rsid w:val="009C0CC1"/>
    <w:rsid w:val="009C10C0"/>
    <w:rsid w:val="009C1FDB"/>
    <w:rsid w:val="009C2A14"/>
    <w:rsid w:val="009C43E2"/>
    <w:rsid w:val="009C7141"/>
    <w:rsid w:val="009D1AD4"/>
    <w:rsid w:val="009D3C41"/>
    <w:rsid w:val="009D7C58"/>
    <w:rsid w:val="009E29F4"/>
    <w:rsid w:val="009E2A2F"/>
    <w:rsid w:val="009E3E6B"/>
    <w:rsid w:val="009E3FE7"/>
    <w:rsid w:val="009E4C36"/>
    <w:rsid w:val="009E608F"/>
    <w:rsid w:val="009F0058"/>
    <w:rsid w:val="009F0F93"/>
    <w:rsid w:val="009F2669"/>
    <w:rsid w:val="009F3FF2"/>
    <w:rsid w:val="009F4402"/>
    <w:rsid w:val="009F5DBF"/>
    <w:rsid w:val="00A0242A"/>
    <w:rsid w:val="00A02DD0"/>
    <w:rsid w:val="00A0500F"/>
    <w:rsid w:val="00A054D8"/>
    <w:rsid w:val="00A05B82"/>
    <w:rsid w:val="00A06B0A"/>
    <w:rsid w:val="00A07CBD"/>
    <w:rsid w:val="00A107C9"/>
    <w:rsid w:val="00A137FD"/>
    <w:rsid w:val="00A13D0D"/>
    <w:rsid w:val="00A1728C"/>
    <w:rsid w:val="00A20ABB"/>
    <w:rsid w:val="00A21A71"/>
    <w:rsid w:val="00A21DA5"/>
    <w:rsid w:val="00A2265F"/>
    <w:rsid w:val="00A2350E"/>
    <w:rsid w:val="00A2351A"/>
    <w:rsid w:val="00A23935"/>
    <w:rsid w:val="00A23E1B"/>
    <w:rsid w:val="00A24B2F"/>
    <w:rsid w:val="00A263B8"/>
    <w:rsid w:val="00A274B8"/>
    <w:rsid w:val="00A31A08"/>
    <w:rsid w:val="00A32370"/>
    <w:rsid w:val="00A32440"/>
    <w:rsid w:val="00A32E35"/>
    <w:rsid w:val="00A428F8"/>
    <w:rsid w:val="00A44F12"/>
    <w:rsid w:val="00A517D7"/>
    <w:rsid w:val="00A5336C"/>
    <w:rsid w:val="00A54B03"/>
    <w:rsid w:val="00A605F0"/>
    <w:rsid w:val="00A61B39"/>
    <w:rsid w:val="00A6405C"/>
    <w:rsid w:val="00A644E2"/>
    <w:rsid w:val="00A66E20"/>
    <w:rsid w:val="00A71D39"/>
    <w:rsid w:val="00A73F51"/>
    <w:rsid w:val="00A740FF"/>
    <w:rsid w:val="00A77E36"/>
    <w:rsid w:val="00A85559"/>
    <w:rsid w:val="00A93F78"/>
    <w:rsid w:val="00A951FF"/>
    <w:rsid w:val="00A9588C"/>
    <w:rsid w:val="00A95A42"/>
    <w:rsid w:val="00A96A26"/>
    <w:rsid w:val="00A97AF6"/>
    <w:rsid w:val="00AA1ACD"/>
    <w:rsid w:val="00AA4231"/>
    <w:rsid w:val="00AA48D6"/>
    <w:rsid w:val="00AA5B3C"/>
    <w:rsid w:val="00AB6060"/>
    <w:rsid w:val="00AB62F9"/>
    <w:rsid w:val="00AB63F7"/>
    <w:rsid w:val="00AB6991"/>
    <w:rsid w:val="00AC05F9"/>
    <w:rsid w:val="00AC1C21"/>
    <w:rsid w:val="00AC2F18"/>
    <w:rsid w:val="00AC3661"/>
    <w:rsid w:val="00AC4D99"/>
    <w:rsid w:val="00AC6F0C"/>
    <w:rsid w:val="00AC76F4"/>
    <w:rsid w:val="00AD36C1"/>
    <w:rsid w:val="00AD7DBE"/>
    <w:rsid w:val="00AE0DA5"/>
    <w:rsid w:val="00AE2804"/>
    <w:rsid w:val="00AE6142"/>
    <w:rsid w:val="00AF35A6"/>
    <w:rsid w:val="00AF43C2"/>
    <w:rsid w:val="00AF47CF"/>
    <w:rsid w:val="00AF6A6A"/>
    <w:rsid w:val="00B009E5"/>
    <w:rsid w:val="00B01C83"/>
    <w:rsid w:val="00B0454D"/>
    <w:rsid w:val="00B05266"/>
    <w:rsid w:val="00B1040E"/>
    <w:rsid w:val="00B118BC"/>
    <w:rsid w:val="00B14A19"/>
    <w:rsid w:val="00B20A0A"/>
    <w:rsid w:val="00B210C6"/>
    <w:rsid w:val="00B24543"/>
    <w:rsid w:val="00B2585E"/>
    <w:rsid w:val="00B30037"/>
    <w:rsid w:val="00B32639"/>
    <w:rsid w:val="00B34131"/>
    <w:rsid w:val="00B36653"/>
    <w:rsid w:val="00B36CEB"/>
    <w:rsid w:val="00B377C1"/>
    <w:rsid w:val="00B42631"/>
    <w:rsid w:val="00B449D8"/>
    <w:rsid w:val="00B45CA8"/>
    <w:rsid w:val="00B46367"/>
    <w:rsid w:val="00B46887"/>
    <w:rsid w:val="00B46D4E"/>
    <w:rsid w:val="00B47070"/>
    <w:rsid w:val="00B47D59"/>
    <w:rsid w:val="00B50365"/>
    <w:rsid w:val="00B51F7E"/>
    <w:rsid w:val="00B53688"/>
    <w:rsid w:val="00B54426"/>
    <w:rsid w:val="00B54995"/>
    <w:rsid w:val="00B62E7A"/>
    <w:rsid w:val="00B64C7C"/>
    <w:rsid w:val="00B7230B"/>
    <w:rsid w:val="00B771F8"/>
    <w:rsid w:val="00B8221E"/>
    <w:rsid w:val="00B91074"/>
    <w:rsid w:val="00B9315F"/>
    <w:rsid w:val="00B938C8"/>
    <w:rsid w:val="00B946A2"/>
    <w:rsid w:val="00B9511F"/>
    <w:rsid w:val="00B9593B"/>
    <w:rsid w:val="00BA19FA"/>
    <w:rsid w:val="00BA1BB5"/>
    <w:rsid w:val="00BA24D4"/>
    <w:rsid w:val="00BA3FF9"/>
    <w:rsid w:val="00BA50C3"/>
    <w:rsid w:val="00BA67E8"/>
    <w:rsid w:val="00BA7F30"/>
    <w:rsid w:val="00BB0C70"/>
    <w:rsid w:val="00BB30CD"/>
    <w:rsid w:val="00BC05B8"/>
    <w:rsid w:val="00BC07C3"/>
    <w:rsid w:val="00BC1DB3"/>
    <w:rsid w:val="00BC366B"/>
    <w:rsid w:val="00BD093B"/>
    <w:rsid w:val="00BD0964"/>
    <w:rsid w:val="00BD7B14"/>
    <w:rsid w:val="00BE0F43"/>
    <w:rsid w:val="00BE1000"/>
    <w:rsid w:val="00BF12C5"/>
    <w:rsid w:val="00BF28DC"/>
    <w:rsid w:val="00BF31AC"/>
    <w:rsid w:val="00BF4612"/>
    <w:rsid w:val="00BF63C8"/>
    <w:rsid w:val="00BF6A9E"/>
    <w:rsid w:val="00BF7CC7"/>
    <w:rsid w:val="00BF7F75"/>
    <w:rsid w:val="00C034D4"/>
    <w:rsid w:val="00C04162"/>
    <w:rsid w:val="00C055B3"/>
    <w:rsid w:val="00C06ACF"/>
    <w:rsid w:val="00C13399"/>
    <w:rsid w:val="00C13D7E"/>
    <w:rsid w:val="00C224F2"/>
    <w:rsid w:val="00C24198"/>
    <w:rsid w:val="00C265E9"/>
    <w:rsid w:val="00C3156D"/>
    <w:rsid w:val="00C34052"/>
    <w:rsid w:val="00C34A58"/>
    <w:rsid w:val="00C34AF2"/>
    <w:rsid w:val="00C35666"/>
    <w:rsid w:val="00C40E1F"/>
    <w:rsid w:val="00C45891"/>
    <w:rsid w:val="00C500CA"/>
    <w:rsid w:val="00C52D8B"/>
    <w:rsid w:val="00C55E46"/>
    <w:rsid w:val="00C628EF"/>
    <w:rsid w:val="00C65918"/>
    <w:rsid w:val="00C66418"/>
    <w:rsid w:val="00C66D93"/>
    <w:rsid w:val="00C713C5"/>
    <w:rsid w:val="00C71867"/>
    <w:rsid w:val="00C71E2F"/>
    <w:rsid w:val="00C71F9D"/>
    <w:rsid w:val="00C725A1"/>
    <w:rsid w:val="00C73DAA"/>
    <w:rsid w:val="00C74406"/>
    <w:rsid w:val="00C74472"/>
    <w:rsid w:val="00C74930"/>
    <w:rsid w:val="00C751E8"/>
    <w:rsid w:val="00C75F55"/>
    <w:rsid w:val="00C81688"/>
    <w:rsid w:val="00C863C5"/>
    <w:rsid w:val="00C86A5F"/>
    <w:rsid w:val="00C92672"/>
    <w:rsid w:val="00C95B56"/>
    <w:rsid w:val="00C97970"/>
    <w:rsid w:val="00CA0245"/>
    <w:rsid w:val="00CA4735"/>
    <w:rsid w:val="00CA4F2F"/>
    <w:rsid w:val="00CA6302"/>
    <w:rsid w:val="00CA683F"/>
    <w:rsid w:val="00CA7C4B"/>
    <w:rsid w:val="00CB08B4"/>
    <w:rsid w:val="00CB1DBC"/>
    <w:rsid w:val="00CB22BA"/>
    <w:rsid w:val="00CB4D4F"/>
    <w:rsid w:val="00CB6D54"/>
    <w:rsid w:val="00CC1340"/>
    <w:rsid w:val="00CC4034"/>
    <w:rsid w:val="00CC4158"/>
    <w:rsid w:val="00CC5860"/>
    <w:rsid w:val="00CC7AF4"/>
    <w:rsid w:val="00CC7CBA"/>
    <w:rsid w:val="00CD48B8"/>
    <w:rsid w:val="00CE0B60"/>
    <w:rsid w:val="00CE36DC"/>
    <w:rsid w:val="00CE3D4E"/>
    <w:rsid w:val="00CE530B"/>
    <w:rsid w:val="00CE74DB"/>
    <w:rsid w:val="00CF088D"/>
    <w:rsid w:val="00CF33D7"/>
    <w:rsid w:val="00CF50FA"/>
    <w:rsid w:val="00CF575E"/>
    <w:rsid w:val="00CF6D4A"/>
    <w:rsid w:val="00D00FC6"/>
    <w:rsid w:val="00D01FAA"/>
    <w:rsid w:val="00D02A9F"/>
    <w:rsid w:val="00D03FDF"/>
    <w:rsid w:val="00D04974"/>
    <w:rsid w:val="00D065D3"/>
    <w:rsid w:val="00D0722A"/>
    <w:rsid w:val="00D10874"/>
    <w:rsid w:val="00D1323C"/>
    <w:rsid w:val="00D16582"/>
    <w:rsid w:val="00D168FD"/>
    <w:rsid w:val="00D16A54"/>
    <w:rsid w:val="00D16D6A"/>
    <w:rsid w:val="00D172B6"/>
    <w:rsid w:val="00D2203A"/>
    <w:rsid w:val="00D22B73"/>
    <w:rsid w:val="00D263F1"/>
    <w:rsid w:val="00D27F89"/>
    <w:rsid w:val="00D30052"/>
    <w:rsid w:val="00D3019E"/>
    <w:rsid w:val="00D30754"/>
    <w:rsid w:val="00D318EE"/>
    <w:rsid w:val="00D3275E"/>
    <w:rsid w:val="00D33D64"/>
    <w:rsid w:val="00D3552C"/>
    <w:rsid w:val="00D430E1"/>
    <w:rsid w:val="00D43B72"/>
    <w:rsid w:val="00D4514B"/>
    <w:rsid w:val="00D4516C"/>
    <w:rsid w:val="00D4689E"/>
    <w:rsid w:val="00D47E50"/>
    <w:rsid w:val="00D520D9"/>
    <w:rsid w:val="00D543E5"/>
    <w:rsid w:val="00D5591D"/>
    <w:rsid w:val="00D56C01"/>
    <w:rsid w:val="00D57F33"/>
    <w:rsid w:val="00D631FE"/>
    <w:rsid w:val="00D654E1"/>
    <w:rsid w:val="00D700BF"/>
    <w:rsid w:val="00D70929"/>
    <w:rsid w:val="00D7140F"/>
    <w:rsid w:val="00D77F08"/>
    <w:rsid w:val="00D80AB1"/>
    <w:rsid w:val="00D814C6"/>
    <w:rsid w:val="00D81530"/>
    <w:rsid w:val="00D819E6"/>
    <w:rsid w:val="00D905D2"/>
    <w:rsid w:val="00D93013"/>
    <w:rsid w:val="00D93ED5"/>
    <w:rsid w:val="00D97056"/>
    <w:rsid w:val="00D9720D"/>
    <w:rsid w:val="00D97647"/>
    <w:rsid w:val="00DA12A3"/>
    <w:rsid w:val="00DA43CD"/>
    <w:rsid w:val="00DA62E5"/>
    <w:rsid w:val="00DA6DCB"/>
    <w:rsid w:val="00DB06CE"/>
    <w:rsid w:val="00DB2419"/>
    <w:rsid w:val="00DB2474"/>
    <w:rsid w:val="00DB2B1E"/>
    <w:rsid w:val="00DB2EF4"/>
    <w:rsid w:val="00DC0125"/>
    <w:rsid w:val="00DC045C"/>
    <w:rsid w:val="00DC14E3"/>
    <w:rsid w:val="00DC5EB7"/>
    <w:rsid w:val="00DD0FB5"/>
    <w:rsid w:val="00DD27CF"/>
    <w:rsid w:val="00DD281F"/>
    <w:rsid w:val="00DE2CD2"/>
    <w:rsid w:val="00DE35B2"/>
    <w:rsid w:val="00DE3D02"/>
    <w:rsid w:val="00DF24A1"/>
    <w:rsid w:val="00DF3EF2"/>
    <w:rsid w:val="00DF58EF"/>
    <w:rsid w:val="00E034E9"/>
    <w:rsid w:val="00E04A8F"/>
    <w:rsid w:val="00E06D34"/>
    <w:rsid w:val="00E11AEA"/>
    <w:rsid w:val="00E17587"/>
    <w:rsid w:val="00E17623"/>
    <w:rsid w:val="00E17755"/>
    <w:rsid w:val="00E21079"/>
    <w:rsid w:val="00E23A40"/>
    <w:rsid w:val="00E303CD"/>
    <w:rsid w:val="00E30F7C"/>
    <w:rsid w:val="00E314EE"/>
    <w:rsid w:val="00E33437"/>
    <w:rsid w:val="00E37E41"/>
    <w:rsid w:val="00E446D5"/>
    <w:rsid w:val="00E470FC"/>
    <w:rsid w:val="00E474D6"/>
    <w:rsid w:val="00E47D74"/>
    <w:rsid w:val="00E50E3D"/>
    <w:rsid w:val="00E51CC4"/>
    <w:rsid w:val="00E567F5"/>
    <w:rsid w:val="00E6364B"/>
    <w:rsid w:val="00E665E6"/>
    <w:rsid w:val="00E706D7"/>
    <w:rsid w:val="00E71EDA"/>
    <w:rsid w:val="00E74418"/>
    <w:rsid w:val="00E74425"/>
    <w:rsid w:val="00E75BC3"/>
    <w:rsid w:val="00E77830"/>
    <w:rsid w:val="00E8069A"/>
    <w:rsid w:val="00E83AA7"/>
    <w:rsid w:val="00E86F32"/>
    <w:rsid w:val="00E87B23"/>
    <w:rsid w:val="00E90BA8"/>
    <w:rsid w:val="00E921FD"/>
    <w:rsid w:val="00E942C4"/>
    <w:rsid w:val="00E95841"/>
    <w:rsid w:val="00E9607B"/>
    <w:rsid w:val="00E961AA"/>
    <w:rsid w:val="00E97677"/>
    <w:rsid w:val="00E97BE4"/>
    <w:rsid w:val="00EA2281"/>
    <w:rsid w:val="00EA40F7"/>
    <w:rsid w:val="00EB09D8"/>
    <w:rsid w:val="00EB1D31"/>
    <w:rsid w:val="00EB370F"/>
    <w:rsid w:val="00EB5715"/>
    <w:rsid w:val="00EB6DFD"/>
    <w:rsid w:val="00EC1C8D"/>
    <w:rsid w:val="00EC2916"/>
    <w:rsid w:val="00EC4D3E"/>
    <w:rsid w:val="00EC5E2D"/>
    <w:rsid w:val="00ED0016"/>
    <w:rsid w:val="00ED057F"/>
    <w:rsid w:val="00ED43F7"/>
    <w:rsid w:val="00ED5E1B"/>
    <w:rsid w:val="00EE2C76"/>
    <w:rsid w:val="00EE375A"/>
    <w:rsid w:val="00EE63E1"/>
    <w:rsid w:val="00EE6F35"/>
    <w:rsid w:val="00EE74A5"/>
    <w:rsid w:val="00EF028E"/>
    <w:rsid w:val="00EF4E80"/>
    <w:rsid w:val="00EF6146"/>
    <w:rsid w:val="00EF79CD"/>
    <w:rsid w:val="00F017AA"/>
    <w:rsid w:val="00F01B50"/>
    <w:rsid w:val="00F01BFA"/>
    <w:rsid w:val="00F06393"/>
    <w:rsid w:val="00F0743E"/>
    <w:rsid w:val="00F140A9"/>
    <w:rsid w:val="00F170F5"/>
    <w:rsid w:val="00F21511"/>
    <w:rsid w:val="00F21FD4"/>
    <w:rsid w:val="00F2549A"/>
    <w:rsid w:val="00F32AAE"/>
    <w:rsid w:val="00F32D62"/>
    <w:rsid w:val="00F33078"/>
    <w:rsid w:val="00F35C54"/>
    <w:rsid w:val="00F42601"/>
    <w:rsid w:val="00F43CE6"/>
    <w:rsid w:val="00F448D4"/>
    <w:rsid w:val="00F45DE3"/>
    <w:rsid w:val="00F4682E"/>
    <w:rsid w:val="00F478F9"/>
    <w:rsid w:val="00F50530"/>
    <w:rsid w:val="00F50B72"/>
    <w:rsid w:val="00F50ED1"/>
    <w:rsid w:val="00F5239F"/>
    <w:rsid w:val="00F622B6"/>
    <w:rsid w:val="00F62FA8"/>
    <w:rsid w:val="00F63575"/>
    <w:rsid w:val="00F67BC9"/>
    <w:rsid w:val="00F67C91"/>
    <w:rsid w:val="00F70F54"/>
    <w:rsid w:val="00F71735"/>
    <w:rsid w:val="00F76F24"/>
    <w:rsid w:val="00F81F27"/>
    <w:rsid w:val="00F83857"/>
    <w:rsid w:val="00F86D73"/>
    <w:rsid w:val="00F90926"/>
    <w:rsid w:val="00F940A0"/>
    <w:rsid w:val="00F94D7B"/>
    <w:rsid w:val="00F9622D"/>
    <w:rsid w:val="00FA6EA5"/>
    <w:rsid w:val="00FB4E05"/>
    <w:rsid w:val="00FB64C7"/>
    <w:rsid w:val="00FB663C"/>
    <w:rsid w:val="00FC0323"/>
    <w:rsid w:val="00FC2B17"/>
    <w:rsid w:val="00FC5F1A"/>
    <w:rsid w:val="00FD1530"/>
    <w:rsid w:val="00FD483F"/>
    <w:rsid w:val="00FD653D"/>
    <w:rsid w:val="00FD741E"/>
    <w:rsid w:val="00FE1BCE"/>
    <w:rsid w:val="00FF2418"/>
    <w:rsid w:val="00FF3929"/>
    <w:rsid w:val="00FF749F"/>
    <w:rsid w:val="010121B4"/>
    <w:rsid w:val="01133753"/>
    <w:rsid w:val="011C0FF8"/>
    <w:rsid w:val="011F4755"/>
    <w:rsid w:val="012F3F7C"/>
    <w:rsid w:val="017C26C1"/>
    <w:rsid w:val="01CF736E"/>
    <w:rsid w:val="025A21B2"/>
    <w:rsid w:val="025E466E"/>
    <w:rsid w:val="02985ED1"/>
    <w:rsid w:val="02A837E9"/>
    <w:rsid w:val="02B73E03"/>
    <w:rsid w:val="02DA6D6A"/>
    <w:rsid w:val="02DF2025"/>
    <w:rsid w:val="03056101"/>
    <w:rsid w:val="03163E1D"/>
    <w:rsid w:val="03256371"/>
    <w:rsid w:val="032D68C3"/>
    <w:rsid w:val="0333635B"/>
    <w:rsid w:val="035D37EA"/>
    <w:rsid w:val="037164C4"/>
    <w:rsid w:val="03764262"/>
    <w:rsid w:val="04044BE3"/>
    <w:rsid w:val="0464670D"/>
    <w:rsid w:val="04692EAF"/>
    <w:rsid w:val="04BA44CE"/>
    <w:rsid w:val="04C035DB"/>
    <w:rsid w:val="04E50427"/>
    <w:rsid w:val="050155E9"/>
    <w:rsid w:val="0539061F"/>
    <w:rsid w:val="054953DA"/>
    <w:rsid w:val="05500244"/>
    <w:rsid w:val="05B27BAD"/>
    <w:rsid w:val="05C43A86"/>
    <w:rsid w:val="05E57FFF"/>
    <w:rsid w:val="06104B20"/>
    <w:rsid w:val="06223E20"/>
    <w:rsid w:val="062D7C32"/>
    <w:rsid w:val="064E42E2"/>
    <w:rsid w:val="06946F06"/>
    <w:rsid w:val="06C05FAB"/>
    <w:rsid w:val="06E076D6"/>
    <w:rsid w:val="07040B8F"/>
    <w:rsid w:val="071163A2"/>
    <w:rsid w:val="076B1EF0"/>
    <w:rsid w:val="07853B87"/>
    <w:rsid w:val="07983134"/>
    <w:rsid w:val="07C22EDA"/>
    <w:rsid w:val="07E555B3"/>
    <w:rsid w:val="07FC1127"/>
    <w:rsid w:val="080C13C2"/>
    <w:rsid w:val="086624EC"/>
    <w:rsid w:val="086D0AD3"/>
    <w:rsid w:val="08D97CBB"/>
    <w:rsid w:val="0910796B"/>
    <w:rsid w:val="093446A7"/>
    <w:rsid w:val="09410948"/>
    <w:rsid w:val="094B42CC"/>
    <w:rsid w:val="09622743"/>
    <w:rsid w:val="096D7D04"/>
    <w:rsid w:val="09711729"/>
    <w:rsid w:val="098205F5"/>
    <w:rsid w:val="0984572B"/>
    <w:rsid w:val="09902FE9"/>
    <w:rsid w:val="09AC7A5A"/>
    <w:rsid w:val="09AF2C35"/>
    <w:rsid w:val="0A152358"/>
    <w:rsid w:val="0A421C06"/>
    <w:rsid w:val="0A456833"/>
    <w:rsid w:val="0A71039E"/>
    <w:rsid w:val="0A8E365F"/>
    <w:rsid w:val="0A9D57A3"/>
    <w:rsid w:val="0AA2487E"/>
    <w:rsid w:val="0AD9119F"/>
    <w:rsid w:val="0AF5210A"/>
    <w:rsid w:val="0B0056DA"/>
    <w:rsid w:val="0B246659"/>
    <w:rsid w:val="0B5C2DB3"/>
    <w:rsid w:val="0B664089"/>
    <w:rsid w:val="0B6658C1"/>
    <w:rsid w:val="0B666755"/>
    <w:rsid w:val="0B8528F2"/>
    <w:rsid w:val="0B9362DF"/>
    <w:rsid w:val="0BBC3FAD"/>
    <w:rsid w:val="0BCD436B"/>
    <w:rsid w:val="0BCF786E"/>
    <w:rsid w:val="0C085D62"/>
    <w:rsid w:val="0C0B585A"/>
    <w:rsid w:val="0C116898"/>
    <w:rsid w:val="0C1F6C93"/>
    <w:rsid w:val="0C683F0B"/>
    <w:rsid w:val="0C783B76"/>
    <w:rsid w:val="0C79253B"/>
    <w:rsid w:val="0C7927C4"/>
    <w:rsid w:val="0C911B2B"/>
    <w:rsid w:val="0CAB373F"/>
    <w:rsid w:val="0CF94109"/>
    <w:rsid w:val="0D107E7B"/>
    <w:rsid w:val="0D185287"/>
    <w:rsid w:val="0D2766C4"/>
    <w:rsid w:val="0D34161D"/>
    <w:rsid w:val="0D5D48BA"/>
    <w:rsid w:val="0DDB0848"/>
    <w:rsid w:val="0E0E51A9"/>
    <w:rsid w:val="0E14552A"/>
    <w:rsid w:val="0E1A36C6"/>
    <w:rsid w:val="0E202F4A"/>
    <w:rsid w:val="0E203897"/>
    <w:rsid w:val="0E336CD8"/>
    <w:rsid w:val="0E377A6B"/>
    <w:rsid w:val="0E4D3106"/>
    <w:rsid w:val="0E7616B1"/>
    <w:rsid w:val="0E8A6525"/>
    <w:rsid w:val="0E972280"/>
    <w:rsid w:val="0ED54151"/>
    <w:rsid w:val="0EDF1180"/>
    <w:rsid w:val="0EF6009B"/>
    <w:rsid w:val="0F0F6660"/>
    <w:rsid w:val="0F75504B"/>
    <w:rsid w:val="0F9F2C50"/>
    <w:rsid w:val="0FA923E3"/>
    <w:rsid w:val="0FB451A9"/>
    <w:rsid w:val="0FC05C73"/>
    <w:rsid w:val="0FE4669F"/>
    <w:rsid w:val="101A0E45"/>
    <w:rsid w:val="10347723"/>
    <w:rsid w:val="10392996"/>
    <w:rsid w:val="103B70AE"/>
    <w:rsid w:val="10887D92"/>
    <w:rsid w:val="108C4DF2"/>
    <w:rsid w:val="1093484A"/>
    <w:rsid w:val="10BC1C89"/>
    <w:rsid w:val="1102547E"/>
    <w:rsid w:val="112812B5"/>
    <w:rsid w:val="112934B3"/>
    <w:rsid w:val="113301CC"/>
    <w:rsid w:val="113D2984"/>
    <w:rsid w:val="119612B5"/>
    <w:rsid w:val="119D51A7"/>
    <w:rsid w:val="11C314B3"/>
    <w:rsid w:val="11CB0AF9"/>
    <w:rsid w:val="11D2540D"/>
    <w:rsid w:val="121015B2"/>
    <w:rsid w:val="12686151"/>
    <w:rsid w:val="127C4DBC"/>
    <w:rsid w:val="128123D2"/>
    <w:rsid w:val="128227EB"/>
    <w:rsid w:val="12BF2650"/>
    <w:rsid w:val="12C51B43"/>
    <w:rsid w:val="12E219A1"/>
    <w:rsid w:val="12E3158A"/>
    <w:rsid w:val="13021236"/>
    <w:rsid w:val="130265BC"/>
    <w:rsid w:val="13031383"/>
    <w:rsid w:val="131D07EE"/>
    <w:rsid w:val="132B7780"/>
    <w:rsid w:val="136043D7"/>
    <w:rsid w:val="13A9697F"/>
    <w:rsid w:val="13D80B9E"/>
    <w:rsid w:val="13E57956"/>
    <w:rsid w:val="13F671B7"/>
    <w:rsid w:val="14000A5D"/>
    <w:rsid w:val="141A28BF"/>
    <w:rsid w:val="141F0D7B"/>
    <w:rsid w:val="1427091D"/>
    <w:rsid w:val="146C6191"/>
    <w:rsid w:val="148E0663"/>
    <w:rsid w:val="148F7B0B"/>
    <w:rsid w:val="14C11485"/>
    <w:rsid w:val="14C87B63"/>
    <w:rsid w:val="14CE23B0"/>
    <w:rsid w:val="14E15C16"/>
    <w:rsid w:val="1527593A"/>
    <w:rsid w:val="152C1214"/>
    <w:rsid w:val="153E0863"/>
    <w:rsid w:val="157B74B9"/>
    <w:rsid w:val="158201D6"/>
    <w:rsid w:val="159B19FD"/>
    <w:rsid w:val="15A10189"/>
    <w:rsid w:val="15A93224"/>
    <w:rsid w:val="15B7232D"/>
    <w:rsid w:val="15DC6CEA"/>
    <w:rsid w:val="16196B4E"/>
    <w:rsid w:val="16297009"/>
    <w:rsid w:val="16341072"/>
    <w:rsid w:val="1682138E"/>
    <w:rsid w:val="16873B19"/>
    <w:rsid w:val="168A62F6"/>
    <w:rsid w:val="16933BA9"/>
    <w:rsid w:val="16996480"/>
    <w:rsid w:val="16A40B24"/>
    <w:rsid w:val="16A82F3A"/>
    <w:rsid w:val="16AB5FA5"/>
    <w:rsid w:val="16F35E5F"/>
    <w:rsid w:val="16FB0B11"/>
    <w:rsid w:val="170A48C2"/>
    <w:rsid w:val="172020F6"/>
    <w:rsid w:val="17220B73"/>
    <w:rsid w:val="173B3C63"/>
    <w:rsid w:val="17C140C3"/>
    <w:rsid w:val="17CD3B5F"/>
    <w:rsid w:val="17EE1C78"/>
    <w:rsid w:val="184D53D9"/>
    <w:rsid w:val="186140E6"/>
    <w:rsid w:val="189A5E77"/>
    <w:rsid w:val="189C68CA"/>
    <w:rsid w:val="18C75DD3"/>
    <w:rsid w:val="18CE28C0"/>
    <w:rsid w:val="18E32865"/>
    <w:rsid w:val="18F31412"/>
    <w:rsid w:val="18F86F87"/>
    <w:rsid w:val="190F0738"/>
    <w:rsid w:val="1948000B"/>
    <w:rsid w:val="194A4E64"/>
    <w:rsid w:val="19690219"/>
    <w:rsid w:val="199D02B5"/>
    <w:rsid w:val="19A87F53"/>
    <w:rsid w:val="19B06735"/>
    <w:rsid w:val="19B802BF"/>
    <w:rsid w:val="19BE1F2F"/>
    <w:rsid w:val="19C5471F"/>
    <w:rsid w:val="19FF2BCD"/>
    <w:rsid w:val="1A3219C7"/>
    <w:rsid w:val="1A4225DF"/>
    <w:rsid w:val="1A665731"/>
    <w:rsid w:val="1A6900E2"/>
    <w:rsid w:val="1ABA0B77"/>
    <w:rsid w:val="1AE31FAA"/>
    <w:rsid w:val="1AE66DC0"/>
    <w:rsid w:val="1AEE23E0"/>
    <w:rsid w:val="1AFE1636"/>
    <w:rsid w:val="1B1501FB"/>
    <w:rsid w:val="1B3D71C1"/>
    <w:rsid w:val="1B951F76"/>
    <w:rsid w:val="1B9F4A8B"/>
    <w:rsid w:val="1BC11999"/>
    <w:rsid w:val="1BEC03A3"/>
    <w:rsid w:val="1BEE7585"/>
    <w:rsid w:val="1C1C4807"/>
    <w:rsid w:val="1C1E0621"/>
    <w:rsid w:val="1C2E7074"/>
    <w:rsid w:val="1C3773D9"/>
    <w:rsid w:val="1C3C5A5F"/>
    <w:rsid w:val="1C490109"/>
    <w:rsid w:val="1C6A7ACF"/>
    <w:rsid w:val="1C7B007C"/>
    <w:rsid w:val="1C9722D6"/>
    <w:rsid w:val="1CA86413"/>
    <w:rsid w:val="1CBA7177"/>
    <w:rsid w:val="1CE553A0"/>
    <w:rsid w:val="1CE913FB"/>
    <w:rsid w:val="1D3D2BD1"/>
    <w:rsid w:val="1D477216"/>
    <w:rsid w:val="1D4E4364"/>
    <w:rsid w:val="1D5F5A70"/>
    <w:rsid w:val="1D613643"/>
    <w:rsid w:val="1D790CEA"/>
    <w:rsid w:val="1D7B414C"/>
    <w:rsid w:val="1D865AFB"/>
    <w:rsid w:val="1DA22BBC"/>
    <w:rsid w:val="1DBB527E"/>
    <w:rsid w:val="1DCE2972"/>
    <w:rsid w:val="1DEE4316"/>
    <w:rsid w:val="1DF8338D"/>
    <w:rsid w:val="1E1435F8"/>
    <w:rsid w:val="1E206EF9"/>
    <w:rsid w:val="1E372D9F"/>
    <w:rsid w:val="1E4F703F"/>
    <w:rsid w:val="1E5A0D8D"/>
    <w:rsid w:val="1E817283"/>
    <w:rsid w:val="1E913D35"/>
    <w:rsid w:val="1EA30D9E"/>
    <w:rsid w:val="1EC54C49"/>
    <w:rsid w:val="1EE14CE2"/>
    <w:rsid w:val="1EE82340"/>
    <w:rsid w:val="1EF34658"/>
    <w:rsid w:val="1EF62EB8"/>
    <w:rsid w:val="1F056833"/>
    <w:rsid w:val="1F102085"/>
    <w:rsid w:val="1F104283"/>
    <w:rsid w:val="1F11772F"/>
    <w:rsid w:val="1F172D7D"/>
    <w:rsid w:val="1F217DA1"/>
    <w:rsid w:val="1F6D7E3A"/>
    <w:rsid w:val="1F6E165D"/>
    <w:rsid w:val="1F71458F"/>
    <w:rsid w:val="1F9053AE"/>
    <w:rsid w:val="1FB75D16"/>
    <w:rsid w:val="1FCA21AE"/>
    <w:rsid w:val="1FEE3DA3"/>
    <w:rsid w:val="202513BD"/>
    <w:rsid w:val="2046687E"/>
    <w:rsid w:val="206032ED"/>
    <w:rsid w:val="2072796C"/>
    <w:rsid w:val="20763531"/>
    <w:rsid w:val="20920EFC"/>
    <w:rsid w:val="20927281"/>
    <w:rsid w:val="209E41C7"/>
    <w:rsid w:val="20C12A38"/>
    <w:rsid w:val="20D05716"/>
    <w:rsid w:val="20E8770D"/>
    <w:rsid w:val="20F1259A"/>
    <w:rsid w:val="211A31C8"/>
    <w:rsid w:val="211C7F42"/>
    <w:rsid w:val="21644AD8"/>
    <w:rsid w:val="217B431E"/>
    <w:rsid w:val="21877151"/>
    <w:rsid w:val="21C41AE4"/>
    <w:rsid w:val="21DC7C19"/>
    <w:rsid w:val="21DD349D"/>
    <w:rsid w:val="21E7182E"/>
    <w:rsid w:val="21E76F54"/>
    <w:rsid w:val="220C4202"/>
    <w:rsid w:val="222570F1"/>
    <w:rsid w:val="222D3305"/>
    <w:rsid w:val="22367999"/>
    <w:rsid w:val="22444146"/>
    <w:rsid w:val="2261436F"/>
    <w:rsid w:val="227646B1"/>
    <w:rsid w:val="228B4258"/>
    <w:rsid w:val="22B02267"/>
    <w:rsid w:val="22B97429"/>
    <w:rsid w:val="22C479DE"/>
    <w:rsid w:val="22C70A11"/>
    <w:rsid w:val="22D61E2F"/>
    <w:rsid w:val="22D94639"/>
    <w:rsid w:val="22F94B6E"/>
    <w:rsid w:val="233C4D5D"/>
    <w:rsid w:val="233E2A2E"/>
    <w:rsid w:val="2378543C"/>
    <w:rsid w:val="239C7BFA"/>
    <w:rsid w:val="23B76226"/>
    <w:rsid w:val="23B83CA7"/>
    <w:rsid w:val="23C154DD"/>
    <w:rsid w:val="23FD0F19"/>
    <w:rsid w:val="24101115"/>
    <w:rsid w:val="243C7737"/>
    <w:rsid w:val="243F2E36"/>
    <w:rsid w:val="245313FA"/>
    <w:rsid w:val="2465202F"/>
    <w:rsid w:val="248D4F84"/>
    <w:rsid w:val="24A73D1F"/>
    <w:rsid w:val="24B27742"/>
    <w:rsid w:val="24B8164C"/>
    <w:rsid w:val="24BF3BA8"/>
    <w:rsid w:val="24E60E96"/>
    <w:rsid w:val="24E85683"/>
    <w:rsid w:val="24E87F68"/>
    <w:rsid w:val="24ED62A3"/>
    <w:rsid w:val="25691BCA"/>
    <w:rsid w:val="258778A8"/>
    <w:rsid w:val="258868F0"/>
    <w:rsid w:val="25996718"/>
    <w:rsid w:val="259D158E"/>
    <w:rsid w:val="25A31DD5"/>
    <w:rsid w:val="25A44B2B"/>
    <w:rsid w:val="25BD0EF9"/>
    <w:rsid w:val="25C852A4"/>
    <w:rsid w:val="25ED29C6"/>
    <w:rsid w:val="2617030E"/>
    <w:rsid w:val="264D28A0"/>
    <w:rsid w:val="26CA0D6F"/>
    <w:rsid w:val="26D10020"/>
    <w:rsid w:val="26DB7D22"/>
    <w:rsid w:val="26E90873"/>
    <w:rsid w:val="26F37BEC"/>
    <w:rsid w:val="27255A0A"/>
    <w:rsid w:val="273C14DC"/>
    <w:rsid w:val="27655A7F"/>
    <w:rsid w:val="2777765F"/>
    <w:rsid w:val="27D1005E"/>
    <w:rsid w:val="27DD62E3"/>
    <w:rsid w:val="27E95370"/>
    <w:rsid w:val="28037FA1"/>
    <w:rsid w:val="28167DD4"/>
    <w:rsid w:val="281B179A"/>
    <w:rsid w:val="282D79F9"/>
    <w:rsid w:val="28401F8F"/>
    <w:rsid w:val="2857083D"/>
    <w:rsid w:val="28680AD8"/>
    <w:rsid w:val="286B015D"/>
    <w:rsid w:val="28B54148"/>
    <w:rsid w:val="28CD627E"/>
    <w:rsid w:val="28E148D3"/>
    <w:rsid w:val="28F12FBA"/>
    <w:rsid w:val="28F306BC"/>
    <w:rsid w:val="29151EF5"/>
    <w:rsid w:val="29643C83"/>
    <w:rsid w:val="29855A2C"/>
    <w:rsid w:val="299327C4"/>
    <w:rsid w:val="29A949F2"/>
    <w:rsid w:val="29C83EDE"/>
    <w:rsid w:val="29DA5136"/>
    <w:rsid w:val="2A423861"/>
    <w:rsid w:val="2A5561C7"/>
    <w:rsid w:val="2A66059D"/>
    <w:rsid w:val="2B0A5828"/>
    <w:rsid w:val="2B142A9B"/>
    <w:rsid w:val="2B2B6A85"/>
    <w:rsid w:val="2B2F7FE6"/>
    <w:rsid w:val="2B317502"/>
    <w:rsid w:val="2B336E05"/>
    <w:rsid w:val="2B62600A"/>
    <w:rsid w:val="2B6A4948"/>
    <w:rsid w:val="2B9026CA"/>
    <w:rsid w:val="2BAA31B3"/>
    <w:rsid w:val="2BC26D9E"/>
    <w:rsid w:val="2BC90C1A"/>
    <w:rsid w:val="2BDA267D"/>
    <w:rsid w:val="2BE441D5"/>
    <w:rsid w:val="2C120DFB"/>
    <w:rsid w:val="2C470693"/>
    <w:rsid w:val="2C6E60F5"/>
    <w:rsid w:val="2C884AC9"/>
    <w:rsid w:val="2CA23BCA"/>
    <w:rsid w:val="2CBD0053"/>
    <w:rsid w:val="2CE341B5"/>
    <w:rsid w:val="2CE81574"/>
    <w:rsid w:val="2D067BEC"/>
    <w:rsid w:val="2D0E1065"/>
    <w:rsid w:val="2D1D7812"/>
    <w:rsid w:val="2D2B45A9"/>
    <w:rsid w:val="2D2E332F"/>
    <w:rsid w:val="2D5B23AA"/>
    <w:rsid w:val="2D60068C"/>
    <w:rsid w:val="2D8E0DCA"/>
    <w:rsid w:val="2D9631B2"/>
    <w:rsid w:val="2D982987"/>
    <w:rsid w:val="2D993BEF"/>
    <w:rsid w:val="2DA354EC"/>
    <w:rsid w:val="2DCC0AC5"/>
    <w:rsid w:val="2E1A3015"/>
    <w:rsid w:val="2E222960"/>
    <w:rsid w:val="2E3F6C20"/>
    <w:rsid w:val="2E6241C8"/>
    <w:rsid w:val="2E654F44"/>
    <w:rsid w:val="2E6B569B"/>
    <w:rsid w:val="2E735BC5"/>
    <w:rsid w:val="2E754F7A"/>
    <w:rsid w:val="2E824B5A"/>
    <w:rsid w:val="2E9021B6"/>
    <w:rsid w:val="2EB95433"/>
    <w:rsid w:val="2EBE07DF"/>
    <w:rsid w:val="2EC15BD9"/>
    <w:rsid w:val="2EFC6A22"/>
    <w:rsid w:val="2EFD4F49"/>
    <w:rsid w:val="2F131782"/>
    <w:rsid w:val="2F3C7955"/>
    <w:rsid w:val="2F417F0C"/>
    <w:rsid w:val="2F910C40"/>
    <w:rsid w:val="2FC126EC"/>
    <w:rsid w:val="301E7DFF"/>
    <w:rsid w:val="30244A9C"/>
    <w:rsid w:val="302F24EF"/>
    <w:rsid w:val="30410D55"/>
    <w:rsid w:val="305B1BAF"/>
    <w:rsid w:val="30D062CD"/>
    <w:rsid w:val="30D26997"/>
    <w:rsid w:val="30E56EDC"/>
    <w:rsid w:val="30F73365"/>
    <w:rsid w:val="3100167D"/>
    <w:rsid w:val="310622FB"/>
    <w:rsid w:val="311B7D98"/>
    <w:rsid w:val="316025BD"/>
    <w:rsid w:val="3175173C"/>
    <w:rsid w:val="31833E1D"/>
    <w:rsid w:val="31946A67"/>
    <w:rsid w:val="31B20215"/>
    <w:rsid w:val="31F67A05"/>
    <w:rsid w:val="32090944"/>
    <w:rsid w:val="32211B4E"/>
    <w:rsid w:val="322B021E"/>
    <w:rsid w:val="324D0D7D"/>
    <w:rsid w:val="326C2EC7"/>
    <w:rsid w:val="32B92FC6"/>
    <w:rsid w:val="32C154AA"/>
    <w:rsid w:val="32C325DA"/>
    <w:rsid w:val="32D009ED"/>
    <w:rsid w:val="32F444EA"/>
    <w:rsid w:val="330B21B6"/>
    <w:rsid w:val="332A001D"/>
    <w:rsid w:val="33372693"/>
    <w:rsid w:val="335C27CF"/>
    <w:rsid w:val="33917C16"/>
    <w:rsid w:val="33A21C9A"/>
    <w:rsid w:val="33F52B8E"/>
    <w:rsid w:val="34176785"/>
    <w:rsid w:val="34293C06"/>
    <w:rsid w:val="344E6FDD"/>
    <w:rsid w:val="34527864"/>
    <w:rsid w:val="34565015"/>
    <w:rsid w:val="34565D9D"/>
    <w:rsid w:val="34881F3C"/>
    <w:rsid w:val="34A30F0E"/>
    <w:rsid w:val="34B124FF"/>
    <w:rsid w:val="34C47118"/>
    <w:rsid w:val="34DB5702"/>
    <w:rsid w:val="34E875C7"/>
    <w:rsid w:val="35137922"/>
    <w:rsid w:val="353A2B45"/>
    <w:rsid w:val="35455B73"/>
    <w:rsid w:val="35847960"/>
    <w:rsid w:val="35893863"/>
    <w:rsid w:val="35CB12B3"/>
    <w:rsid w:val="35CB1E9A"/>
    <w:rsid w:val="35FE5733"/>
    <w:rsid w:val="361C0AFD"/>
    <w:rsid w:val="363A185F"/>
    <w:rsid w:val="363B563B"/>
    <w:rsid w:val="363D783F"/>
    <w:rsid w:val="364D6A4A"/>
    <w:rsid w:val="36625046"/>
    <w:rsid w:val="36667F4C"/>
    <w:rsid w:val="366C0D41"/>
    <w:rsid w:val="366D2A86"/>
    <w:rsid w:val="36742808"/>
    <w:rsid w:val="367A5F70"/>
    <w:rsid w:val="36824B9C"/>
    <w:rsid w:val="36832FFC"/>
    <w:rsid w:val="3692436C"/>
    <w:rsid w:val="369C735A"/>
    <w:rsid w:val="36A35AAF"/>
    <w:rsid w:val="36A66A34"/>
    <w:rsid w:val="36B1439C"/>
    <w:rsid w:val="36BA0F57"/>
    <w:rsid w:val="36C54F61"/>
    <w:rsid w:val="36EA771D"/>
    <w:rsid w:val="36FA64BE"/>
    <w:rsid w:val="36FD79CA"/>
    <w:rsid w:val="37381826"/>
    <w:rsid w:val="374643BF"/>
    <w:rsid w:val="37476E6B"/>
    <w:rsid w:val="378828AA"/>
    <w:rsid w:val="378F5548"/>
    <w:rsid w:val="3795413E"/>
    <w:rsid w:val="37977271"/>
    <w:rsid w:val="37987437"/>
    <w:rsid w:val="37D646E1"/>
    <w:rsid w:val="380E5D6B"/>
    <w:rsid w:val="381B3F7A"/>
    <w:rsid w:val="3831783F"/>
    <w:rsid w:val="383D10D3"/>
    <w:rsid w:val="386A0C9E"/>
    <w:rsid w:val="38847E92"/>
    <w:rsid w:val="389152DA"/>
    <w:rsid w:val="38C83236"/>
    <w:rsid w:val="38DE53D9"/>
    <w:rsid w:val="390B6CEE"/>
    <w:rsid w:val="392F3EDF"/>
    <w:rsid w:val="39336168"/>
    <w:rsid w:val="393F3CD6"/>
    <w:rsid w:val="39484E09"/>
    <w:rsid w:val="394E45C5"/>
    <w:rsid w:val="39D114EA"/>
    <w:rsid w:val="39D46BEB"/>
    <w:rsid w:val="3A1F37E7"/>
    <w:rsid w:val="3A2669F5"/>
    <w:rsid w:val="3A3C74B4"/>
    <w:rsid w:val="3A3E27D3"/>
    <w:rsid w:val="3A425CFB"/>
    <w:rsid w:val="3A5F79E6"/>
    <w:rsid w:val="3A6D2B2C"/>
    <w:rsid w:val="3A7E52C6"/>
    <w:rsid w:val="3AB81953"/>
    <w:rsid w:val="3ABB4CF7"/>
    <w:rsid w:val="3AD02804"/>
    <w:rsid w:val="3AE97286"/>
    <w:rsid w:val="3AEF3EC0"/>
    <w:rsid w:val="3AF86D4E"/>
    <w:rsid w:val="3AF93436"/>
    <w:rsid w:val="3B0A3060"/>
    <w:rsid w:val="3B3D2A1F"/>
    <w:rsid w:val="3B736697"/>
    <w:rsid w:val="3B7D5180"/>
    <w:rsid w:val="3B846B7A"/>
    <w:rsid w:val="3B993054"/>
    <w:rsid w:val="3BB85B07"/>
    <w:rsid w:val="3BC4191A"/>
    <w:rsid w:val="3BC44F5A"/>
    <w:rsid w:val="3BF5376E"/>
    <w:rsid w:val="3C2B322B"/>
    <w:rsid w:val="3C5B3C6B"/>
    <w:rsid w:val="3C65652D"/>
    <w:rsid w:val="3C9237E9"/>
    <w:rsid w:val="3C946BEB"/>
    <w:rsid w:val="3CA00F52"/>
    <w:rsid w:val="3CA75790"/>
    <w:rsid w:val="3CED5A3B"/>
    <w:rsid w:val="3CFC7847"/>
    <w:rsid w:val="3CFF5E1E"/>
    <w:rsid w:val="3D3B0DDF"/>
    <w:rsid w:val="3D5B0A23"/>
    <w:rsid w:val="3D870F02"/>
    <w:rsid w:val="3E120265"/>
    <w:rsid w:val="3E1B314F"/>
    <w:rsid w:val="3E2D23D6"/>
    <w:rsid w:val="3E3F6CCA"/>
    <w:rsid w:val="3E546A69"/>
    <w:rsid w:val="3E551BE5"/>
    <w:rsid w:val="3E6135F4"/>
    <w:rsid w:val="3E932D12"/>
    <w:rsid w:val="3E956359"/>
    <w:rsid w:val="3E987ECE"/>
    <w:rsid w:val="3EA70758"/>
    <w:rsid w:val="3EE333F2"/>
    <w:rsid w:val="3EFC5C64"/>
    <w:rsid w:val="3F1049E5"/>
    <w:rsid w:val="3F246731"/>
    <w:rsid w:val="3F3B4945"/>
    <w:rsid w:val="3F433E5A"/>
    <w:rsid w:val="3F4F7C6C"/>
    <w:rsid w:val="3F685210"/>
    <w:rsid w:val="3F767B2C"/>
    <w:rsid w:val="3F9C4E89"/>
    <w:rsid w:val="40061999"/>
    <w:rsid w:val="40547059"/>
    <w:rsid w:val="405902C6"/>
    <w:rsid w:val="406C6770"/>
    <w:rsid w:val="40915CFA"/>
    <w:rsid w:val="40CF0E06"/>
    <w:rsid w:val="40D04955"/>
    <w:rsid w:val="412052B3"/>
    <w:rsid w:val="414234B9"/>
    <w:rsid w:val="414C3236"/>
    <w:rsid w:val="414F2C77"/>
    <w:rsid w:val="416A1261"/>
    <w:rsid w:val="41834389"/>
    <w:rsid w:val="41BF069E"/>
    <w:rsid w:val="41C377ED"/>
    <w:rsid w:val="41C52874"/>
    <w:rsid w:val="41D279BE"/>
    <w:rsid w:val="41DD5D1C"/>
    <w:rsid w:val="422B5A9B"/>
    <w:rsid w:val="422F5266"/>
    <w:rsid w:val="423F253E"/>
    <w:rsid w:val="424E080B"/>
    <w:rsid w:val="42570A10"/>
    <w:rsid w:val="42784EFA"/>
    <w:rsid w:val="42920CC3"/>
    <w:rsid w:val="42A2549A"/>
    <w:rsid w:val="42C6635A"/>
    <w:rsid w:val="42CD0EA8"/>
    <w:rsid w:val="42DE6BC4"/>
    <w:rsid w:val="42FE1677"/>
    <w:rsid w:val="430345BA"/>
    <w:rsid w:val="4321529E"/>
    <w:rsid w:val="433A5C59"/>
    <w:rsid w:val="43423065"/>
    <w:rsid w:val="437B6298"/>
    <w:rsid w:val="438F08E9"/>
    <w:rsid w:val="43907AAB"/>
    <w:rsid w:val="43BE0430"/>
    <w:rsid w:val="43D17004"/>
    <w:rsid w:val="43DA5C5F"/>
    <w:rsid w:val="43E23A8B"/>
    <w:rsid w:val="44293FF9"/>
    <w:rsid w:val="446B0669"/>
    <w:rsid w:val="446C6A68"/>
    <w:rsid w:val="44706517"/>
    <w:rsid w:val="45011D41"/>
    <w:rsid w:val="4503405A"/>
    <w:rsid w:val="452E518F"/>
    <w:rsid w:val="4545681E"/>
    <w:rsid w:val="454702B7"/>
    <w:rsid w:val="455C2158"/>
    <w:rsid w:val="45651A65"/>
    <w:rsid w:val="456E0EE9"/>
    <w:rsid w:val="456F27C4"/>
    <w:rsid w:val="45757B02"/>
    <w:rsid w:val="45836413"/>
    <w:rsid w:val="45B32E6A"/>
    <w:rsid w:val="46080375"/>
    <w:rsid w:val="461807D7"/>
    <w:rsid w:val="46233A93"/>
    <w:rsid w:val="463065F6"/>
    <w:rsid w:val="46423A3B"/>
    <w:rsid w:val="465164CD"/>
    <w:rsid w:val="465700F4"/>
    <w:rsid w:val="465B35B4"/>
    <w:rsid w:val="468A764A"/>
    <w:rsid w:val="4691544D"/>
    <w:rsid w:val="46A72415"/>
    <w:rsid w:val="46AF5BCE"/>
    <w:rsid w:val="46BC111E"/>
    <w:rsid w:val="46BE5447"/>
    <w:rsid w:val="46C4751C"/>
    <w:rsid w:val="46E44EC7"/>
    <w:rsid w:val="46E56A5F"/>
    <w:rsid w:val="46EF4DF0"/>
    <w:rsid w:val="46FA33B2"/>
    <w:rsid w:val="46FE3D85"/>
    <w:rsid w:val="475E02E8"/>
    <w:rsid w:val="47624569"/>
    <w:rsid w:val="478168DD"/>
    <w:rsid w:val="478A5A2C"/>
    <w:rsid w:val="479E3C8F"/>
    <w:rsid w:val="47B408FD"/>
    <w:rsid w:val="47C812A9"/>
    <w:rsid w:val="47DC068E"/>
    <w:rsid w:val="47DD439D"/>
    <w:rsid w:val="47F4486C"/>
    <w:rsid w:val="48020130"/>
    <w:rsid w:val="480B6841"/>
    <w:rsid w:val="480F7417"/>
    <w:rsid w:val="48242B78"/>
    <w:rsid w:val="48630809"/>
    <w:rsid w:val="4868266F"/>
    <w:rsid w:val="48981928"/>
    <w:rsid w:val="4951655A"/>
    <w:rsid w:val="49791DE0"/>
    <w:rsid w:val="497C541E"/>
    <w:rsid w:val="497D0E3C"/>
    <w:rsid w:val="499253C3"/>
    <w:rsid w:val="49B764FC"/>
    <w:rsid w:val="49DF4EBA"/>
    <w:rsid w:val="49E41279"/>
    <w:rsid w:val="49E573CC"/>
    <w:rsid w:val="4A397DC3"/>
    <w:rsid w:val="4A412BA1"/>
    <w:rsid w:val="4A570604"/>
    <w:rsid w:val="4A5C53CA"/>
    <w:rsid w:val="4A6E7363"/>
    <w:rsid w:val="4A9174E4"/>
    <w:rsid w:val="4AC16C04"/>
    <w:rsid w:val="4AD239F8"/>
    <w:rsid w:val="4AE20C46"/>
    <w:rsid w:val="4B102B0C"/>
    <w:rsid w:val="4B16773E"/>
    <w:rsid w:val="4B3969AC"/>
    <w:rsid w:val="4B3A6678"/>
    <w:rsid w:val="4B4E311B"/>
    <w:rsid w:val="4B66090B"/>
    <w:rsid w:val="4B6C26CB"/>
    <w:rsid w:val="4B6E176F"/>
    <w:rsid w:val="4BBD33CE"/>
    <w:rsid w:val="4BCC13F5"/>
    <w:rsid w:val="4BFD5D8E"/>
    <w:rsid w:val="4C017B05"/>
    <w:rsid w:val="4C3B0AD8"/>
    <w:rsid w:val="4C5A4CC2"/>
    <w:rsid w:val="4C5F15AB"/>
    <w:rsid w:val="4C773E82"/>
    <w:rsid w:val="4C7A5BF9"/>
    <w:rsid w:val="4C927A4A"/>
    <w:rsid w:val="4C982217"/>
    <w:rsid w:val="4CB5540A"/>
    <w:rsid w:val="4CBE53F2"/>
    <w:rsid w:val="4CE432A2"/>
    <w:rsid w:val="4CE75EF6"/>
    <w:rsid w:val="4CED3AC0"/>
    <w:rsid w:val="4CF14931"/>
    <w:rsid w:val="4CF93156"/>
    <w:rsid w:val="4CFF5CF5"/>
    <w:rsid w:val="4D0E72AE"/>
    <w:rsid w:val="4D143D6E"/>
    <w:rsid w:val="4D1E2546"/>
    <w:rsid w:val="4D3E4E5A"/>
    <w:rsid w:val="4D3F3CC3"/>
    <w:rsid w:val="4D517068"/>
    <w:rsid w:val="4D665D11"/>
    <w:rsid w:val="4D895D66"/>
    <w:rsid w:val="4DAC36AC"/>
    <w:rsid w:val="4DB248F6"/>
    <w:rsid w:val="4DD61FCC"/>
    <w:rsid w:val="4DE904E0"/>
    <w:rsid w:val="4DF1057D"/>
    <w:rsid w:val="4DF420F5"/>
    <w:rsid w:val="4E141DF1"/>
    <w:rsid w:val="4E370378"/>
    <w:rsid w:val="4E732BD8"/>
    <w:rsid w:val="4E782B03"/>
    <w:rsid w:val="4E7943DC"/>
    <w:rsid w:val="4E7E1C73"/>
    <w:rsid w:val="4E847C71"/>
    <w:rsid w:val="4EBB0839"/>
    <w:rsid w:val="4EC549CB"/>
    <w:rsid w:val="4EDA586A"/>
    <w:rsid w:val="4EDA5C7C"/>
    <w:rsid w:val="4EE05B1D"/>
    <w:rsid w:val="4F13254C"/>
    <w:rsid w:val="4F3B1580"/>
    <w:rsid w:val="4F537AB2"/>
    <w:rsid w:val="4F58603C"/>
    <w:rsid w:val="4F5D6686"/>
    <w:rsid w:val="4F620E30"/>
    <w:rsid w:val="4F624EF6"/>
    <w:rsid w:val="4F637D4D"/>
    <w:rsid w:val="4F8E345D"/>
    <w:rsid w:val="4F990227"/>
    <w:rsid w:val="4FB52C12"/>
    <w:rsid w:val="4FC357E8"/>
    <w:rsid w:val="4FE52F42"/>
    <w:rsid w:val="504323CD"/>
    <w:rsid w:val="5059155E"/>
    <w:rsid w:val="506875FB"/>
    <w:rsid w:val="50844EBF"/>
    <w:rsid w:val="508D1967"/>
    <w:rsid w:val="50A16CA6"/>
    <w:rsid w:val="50A83F1D"/>
    <w:rsid w:val="50B26D75"/>
    <w:rsid w:val="50D137D5"/>
    <w:rsid w:val="50D73FF0"/>
    <w:rsid w:val="50D80413"/>
    <w:rsid w:val="510E103A"/>
    <w:rsid w:val="514327E1"/>
    <w:rsid w:val="514336E6"/>
    <w:rsid w:val="51571AC4"/>
    <w:rsid w:val="51647E65"/>
    <w:rsid w:val="517E7101"/>
    <w:rsid w:val="51935A63"/>
    <w:rsid w:val="51A95A08"/>
    <w:rsid w:val="51C13FBE"/>
    <w:rsid w:val="51C752AD"/>
    <w:rsid w:val="51CD260D"/>
    <w:rsid w:val="51DD32B1"/>
    <w:rsid w:val="521220F6"/>
    <w:rsid w:val="521572B6"/>
    <w:rsid w:val="52400C67"/>
    <w:rsid w:val="524336DF"/>
    <w:rsid w:val="524D0715"/>
    <w:rsid w:val="526B5AC6"/>
    <w:rsid w:val="526E43A0"/>
    <w:rsid w:val="52750905"/>
    <w:rsid w:val="527F0414"/>
    <w:rsid w:val="52892AF8"/>
    <w:rsid w:val="52A336A2"/>
    <w:rsid w:val="52AB0798"/>
    <w:rsid w:val="52CA226C"/>
    <w:rsid w:val="52CC7522"/>
    <w:rsid w:val="52F8589F"/>
    <w:rsid w:val="52FD3EE8"/>
    <w:rsid w:val="53502E56"/>
    <w:rsid w:val="53516761"/>
    <w:rsid w:val="536454E8"/>
    <w:rsid w:val="537A3705"/>
    <w:rsid w:val="53852110"/>
    <w:rsid w:val="538606D4"/>
    <w:rsid w:val="539359BE"/>
    <w:rsid w:val="53B85210"/>
    <w:rsid w:val="53EC0FAF"/>
    <w:rsid w:val="53F16BC7"/>
    <w:rsid w:val="540013E0"/>
    <w:rsid w:val="54096E8C"/>
    <w:rsid w:val="54234E18"/>
    <w:rsid w:val="542D727D"/>
    <w:rsid w:val="5435510F"/>
    <w:rsid w:val="54417C4B"/>
    <w:rsid w:val="547B54A6"/>
    <w:rsid w:val="54B7788A"/>
    <w:rsid w:val="54D648BB"/>
    <w:rsid w:val="54D920AE"/>
    <w:rsid w:val="54DF2FCC"/>
    <w:rsid w:val="54F80627"/>
    <w:rsid w:val="55106124"/>
    <w:rsid w:val="55362C2B"/>
    <w:rsid w:val="55404A70"/>
    <w:rsid w:val="55583B90"/>
    <w:rsid w:val="555E131C"/>
    <w:rsid w:val="557E616E"/>
    <w:rsid w:val="559519E9"/>
    <w:rsid w:val="55A21A11"/>
    <w:rsid w:val="55A53C8F"/>
    <w:rsid w:val="55BF5D3D"/>
    <w:rsid w:val="55C51FC5"/>
    <w:rsid w:val="55F0785B"/>
    <w:rsid w:val="560F1140"/>
    <w:rsid w:val="56141D44"/>
    <w:rsid w:val="56206E5C"/>
    <w:rsid w:val="564A221E"/>
    <w:rsid w:val="5678070D"/>
    <w:rsid w:val="56862083"/>
    <w:rsid w:val="56B37C4E"/>
    <w:rsid w:val="56D57C04"/>
    <w:rsid w:val="56E968A5"/>
    <w:rsid w:val="56F20E16"/>
    <w:rsid w:val="57000432"/>
    <w:rsid w:val="570E0227"/>
    <w:rsid w:val="57563306"/>
    <w:rsid w:val="577C1CAD"/>
    <w:rsid w:val="57844A61"/>
    <w:rsid w:val="57A046B8"/>
    <w:rsid w:val="57B04FE9"/>
    <w:rsid w:val="57F05DD2"/>
    <w:rsid w:val="57FD096B"/>
    <w:rsid w:val="58124E7E"/>
    <w:rsid w:val="5825082B"/>
    <w:rsid w:val="58435145"/>
    <w:rsid w:val="587971CE"/>
    <w:rsid w:val="588D4B10"/>
    <w:rsid w:val="58E43B5D"/>
    <w:rsid w:val="58ED1D77"/>
    <w:rsid w:val="590E18ED"/>
    <w:rsid w:val="593D12F7"/>
    <w:rsid w:val="59617E35"/>
    <w:rsid w:val="5992513B"/>
    <w:rsid w:val="59941D06"/>
    <w:rsid w:val="59981AA8"/>
    <w:rsid w:val="59A01B41"/>
    <w:rsid w:val="59A15799"/>
    <w:rsid w:val="59B54690"/>
    <w:rsid w:val="59B660FE"/>
    <w:rsid w:val="59DE2648"/>
    <w:rsid w:val="59ED7002"/>
    <w:rsid w:val="5A1F3552"/>
    <w:rsid w:val="5A76552B"/>
    <w:rsid w:val="5AB81CD6"/>
    <w:rsid w:val="5AC02D0D"/>
    <w:rsid w:val="5ACE15D8"/>
    <w:rsid w:val="5AF64A35"/>
    <w:rsid w:val="5B24753E"/>
    <w:rsid w:val="5B6836FC"/>
    <w:rsid w:val="5B692598"/>
    <w:rsid w:val="5B713816"/>
    <w:rsid w:val="5B933DD4"/>
    <w:rsid w:val="5BBB130B"/>
    <w:rsid w:val="5BDF6048"/>
    <w:rsid w:val="5BE9161E"/>
    <w:rsid w:val="5BFA0755"/>
    <w:rsid w:val="5C3777A0"/>
    <w:rsid w:val="5C5D6756"/>
    <w:rsid w:val="5C6723D0"/>
    <w:rsid w:val="5C702A5B"/>
    <w:rsid w:val="5CAE7162"/>
    <w:rsid w:val="5CC85FC5"/>
    <w:rsid w:val="5CE323F2"/>
    <w:rsid w:val="5CEB19FD"/>
    <w:rsid w:val="5D0C25DA"/>
    <w:rsid w:val="5D2F772B"/>
    <w:rsid w:val="5D346490"/>
    <w:rsid w:val="5D5104A8"/>
    <w:rsid w:val="5D5E7AD3"/>
    <w:rsid w:val="5D7D47EF"/>
    <w:rsid w:val="5D813AEB"/>
    <w:rsid w:val="5D982259"/>
    <w:rsid w:val="5D9B7838"/>
    <w:rsid w:val="5DB75574"/>
    <w:rsid w:val="5DB91FED"/>
    <w:rsid w:val="5DE70783"/>
    <w:rsid w:val="5E097C56"/>
    <w:rsid w:val="5E471CBA"/>
    <w:rsid w:val="5E6721EE"/>
    <w:rsid w:val="5E9132C3"/>
    <w:rsid w:val="5E96130D"/>
    <w:rsid w:val="5EA5347A"/>
    <w:rsid w:val="5EAC2CE3"/>
    <w:rsid w:val="5EBC4145"/>
    <w:rsid w:val="5EC1455A"/>
    <w:rsid w:val="5EC478FD"/>
    <w:rsid w:val="5ECD7994"/>
    <w:rsid w:val="5ED837A7"/>
    <w:rsid w:val="5EE769F3"/>
    <w:rsid w:val="5F1723A4"/>
    <w:rsid w:val="5F332BBC"/>
    <w:rsid w:val="5F3715C2"/>
    <w:rsid w:val="5F3B5A4A"/>
    <w:rsid w:val="5F442401"/>
    <w:rsid w:val="5F6419DC"/>
    <w:rsid w:val="5F6D4A22"/>
    <w:rsid w:val="5F6F7CA1"/>
    <w:rsid w:val="5F880A48"/>
    <w:rsid w:val="5FDC3E85"/>
    <w:rsid w:val="5FDD1CCE"/>
    <w:rsid w:val="601F5526"/>
    <w:rsid w:val="603944E1"/>
    <w:rsid w:val="604E4367"/>
    <w:rsid w:val="60584F1D"/>
    <w:rsid w:val="60595747"/>
    <w:rsid w:val="6063466C"/>
    <w:rsid w:val="60661CB4"/>
    <w:rsid w:val="60766139"/>
    <w:rsid w:val="608049EB"/>
    <w:rsid w:val="60812F71"/>
    <w:rsid w:val="609A6C8B"/>
    <w:rsid w:val="60A73D51"/>
    <w:rsid w:val="60B146B2"/>
    <w:rsid w:val="60CA5C5B"/>
    <w:rsid w:val="60E40384"/>
    <w:rsid w:val="60EB69F2"/>
    <w:rsid w:val="610F5E35"/>
    <w:rsid w:val="612C3FFB"/>
    <w:rsid w:val="613418ED"/>
    <w:rsid w:val="6136552E"/>
    <w:rsid w:val="613A0D93"/>
    <w:rsid w:val="61610105"/>
    <w:rsid w:val="616C5A5C"/>
    <w:rsid w:val="618A4767"/>
    <w:rsid w:val="61954924"/>
    <w:rsid w:val="619A1555"/>
    <w:rsid w:val="61F3273F"/>
    <w:rsid w:val="620826E5"/>
    <w:rsid w:val="620D4D2A"/>
    <w:rsid w:val="62176BD9"/>
    <w:rsid w:val="62250781"/>
    <w:rsid w:val="62356ACE"/>
    <w:rsid w:val="62486BCC"/>
    <w:rsid w:val="6251055B"/>
    <w:rsid w:val="629E602C"/>
    <w:rsid w:val="62B6741A"/>
    <w:rsid w:val="62BB1F75"/>
    <w:rsid w:val="630B0025"/>
    <w:rsid w:val="632366B5"/>
    <w:rsid w:val="63302147"/>
    <w:rsid w:val="636B6AA9"/>
    <w:rsid w:val="638A3ADA"/>
    <w:rsid w:val="63A80B0C"/>
    <w:rsid w:val="63B86BA8"/>
    <w:rsid w:val="63BC45E5"/>
    <w:rsid w:val="63BE46AF"/>
    <w:rsid w:val="63E217E1"/>
    <w:rsid w:val="63FD3F03"/>
    <w:rsid w:val="642104F5"/>
    <w:rsid w:val="64276DF4"/>
    <w:rsid w:val="643407A7"/>
    <w:rsid w:val="647A0E64"/>
    <w:rsid w:val="64803619"/>
    <w:rsid w:val="648E5907"/>
    <w:rsid w:val="64994927"/>
    <w:rsid w:val="64A010A4"/>
    <w:rsid w:val="64DA0DDE"/>
    <w:rsid w:val="64E51002"/>
    <w:rsid w:val="651F307E"/>
    <w:rsid w:val="653603C7"/>
    <w:rsid w:val="656D4F75"/>
    <w:rsid w:val="65703D66"/>
    <w:rsid w:val="657C502B"/>
    <w:rsid w:val="657E127B"/>
    <w:rsid w:val="65953340"/>
    <w:rsid w:val="65E90142"/>
    <w:rsid w:val="662616A0"/>
    <w:rsid w:val="66284C66"/>
    <w:rsid w:val="66333A39"/>
    <w:rsid w:val="663366B5"/>
    <w:rsid w:val="6648015B"/>
    <w:rsid w:val="664C0236"/>
    <w:rsid w:val="667F5FA5"/>
    <w:rsid w:val="66B5634D"/>
    <w:rsid w:val="66D505DD"/>
    <w:rsid w:val="66DD77F7"/>
    <w:rsid w:val="670F16E2"/>
    <w:rsid w:val="674E016D"/>
    <w:rsid w:val="676F59BF"/>
    <w:rsid w:val="6775314C"/>
    <w:rsid w:val="679A6900"/>
    <w:rsid w:val="67E32102"/>
    <w:rsid w:val="67E84389"/>
    <w:rsid w:val="67ED6375"/>
    <w:rsid w:val="67EE5056"/>
    <w:rsid w:val="67FA4E5C"/>
    <w:rsid w:val="67FF3017"/>
    <w:rsid w:val="68033CB4"/>
    <w:rsid w:val="68186A37"/>
    <w:rsid w:val="681A70CF"/>
    <w:rsid w:val="68470C85"/>
    <w:rsid w:val="684D6A8C"/>
    <w:rsid w:val="6867649D"/>
    <w:rsid w:val="688B0763"/>
    <w:rsid w:val="68A1390E"/>
    <w:rsid w:val="68CA01FA"/>
    <w:rsid w:val="691959FB"/>
    <w:rsid w:val="69366D06"/>
    <w:rsid w:val="69434640"/>
    <w:rsid w:val="694542C0"/>
    <w:rsid w:val="69504A01"/>
    <w:rsid w:val="69760313"/>
    <w:rsid w:val="697A6D19"/>
    <w:rsid w:val="69873F06"/>
    <w:rsid w:val="69D37795"/>
    <w:rsid w:val="69D61631"/>
    <w:rsid w:val="69DA57C5"/>
    <w:rsid w:val="69F3315F"/>
    <w:rsid w:val="69FD7950"/>
    <w:rsid w:val="6A0A6494"/>
    <w:rsid w:val="6A2007AB"/>
    <w:rsid w:val="6A3C0A16"/>
    <w:rsid w:val="6A40330A"/>
    <w:rsid w:val="6A7428DF"/>
    <w:rsid w:val="6A9A31A7"/>
    <w:rsid w:val="6AE933C5"/>
    <w:rsid w:val="6AF30294"/>
    <w:rsid w:val="6B161F4B"/>
    <w:rsid w:val="6B1D1384"/>
    <w:rsid w:val="6B3E2A69"/>
    <w:rsid w:val="6B434100"/>
    <w:rsid w:val="6B456D52"/>
    <w:rsid w:val="6B663041"/>
    <w:rsid w:val="6B7A7E54"/>
    <w:rsid w:val="6BC03116"/>
    <w:rsid w:val="6BCD11D7"/>
    <w:rsid w:val="6BE100EB"/>
    <w:rsid w:val="6BF37D4B"/>
    <w:rsid w:val="6C132A6D"/>
    <w:rsid w:val="6C3C0BA8"/>
    <w:rsid w:val="6C4C58BD"/>
    <w:rsid w:val="6C554EC8"/>
    <w:rsid w:val="6C901D4E"/>
    <w:rsid w:val="6CBF6AF6"/>
    <w:rsid w:val="6CC87405"/>
    <w:rsid w:val="6CE8573C"/>
    <w:rsid w:val="6CE91505"/>
    <w:rsid w:val="6CED3A62"/>
    <w:rsid w:val="6CF255B7"/>
    <w:rsid w:val="6D034A65"/>
    <w:rsid w:val="6D0475EA"/>
    <w:rsid w:val="6D342338"/>
    <w:rsid w:val="6D3A1CC2"/>
    <w:rsid w:val="6D464C56"/>
    <w:rsid w:val="6DA322E1"/>
    <w:rsid w:val="6DAC0CFD"/>
    <w:rsid w:val="6DB30687"/>
    <w:rsid w:val="6E0509D7"/>
    <w:rsid w:val="6E055466"/>
    <w:rsid w:val="6E170CD7"/>
    <w:rsid w:val="6E3C13F9"/>
    <w:rsid w:val="6E452C57"/>
    <w:rsid w:val="6E605061"/>
    <w:rsid w:val="6E8F6D71"/>
    <w:rsid w:val="6EAB2E1E"/>
    <w:rsid w:val="6EBC7AD2"/>
    <w:rsid w:val="6EF31CFB"/>
    <w:rsid w:val="6F080FB9"/>
    <w:rsid w:val="6F51652A"/>
    <w:rsid w:val="6F726EC6"/>
    <w:rsid w:val="6F7C5EF4"/>
    <w:rsid w:val="6F997223"/>
    <w:rsid w:val="6FA526CF"/>
    <w:rsid w:val="6FB045F0"/>
    <w:rsid w:val="6FD85E0E"/>
    <w:rsid w:val="6FF56FA9"/>
    <w:rsid w:val="6FFF2715"/>
    <w:rsid w:val="70124ED7"/>
    <w:rsid w:val="705C6BEC"/>
    <w:rsid w:val="706C2B4D"/>
    <w:rsid w:val="708E7E5A"/>
    <w:rsid w:val="70901D3A"/>
    <w:rsid w:val="709631B3"/>
    <w:rsid w:val="70971E04"/>
    <w:rsid w:val="70D63257"/>
    <w:rsid w:val="70F521A3"/>
    <w:rsid w:val="710B7F28"/>
    <w:rsid w:val="71180999"/>
    <w:rsid w:val="711C142C"/>
    <w:rsid w:val="71224B2C"/>
    <w:rsid w:val="713F2DD7"/>
    <w:rsid w:val="7156627F"/>
    <w:rsid w:val="716E41BB"/>
    <w:rsid w:val="71B5409B"/>
    <w:rsid w:val="71F60387"/>
    <w:rsid w:val="722978DD"/>
    <w:rsid w:val="723423EA"/>
    <w:rsid w:val="72422A05"/>
    <w:rsid w:val="72453989"/>
    <w:rsid w:val="724A458E"/>
    <w:rsid w:val="726D59D0"/>
    <w:rsid w:val="72905049"/>
    <w:rsid w:val="72CB2869"/>
    <w:rsid w:val="72F76811"/>
    <w:rsid w:val="72F94009"/>
    <w:rsid w:val="73025524"/>
    <w:rsid w:val="7318449D"/>
    <w:rsid w:val="73576115"/>
    <w:rsid w:val="736B3D96"/>
    <w:rsid w:val="73A06886"/>
    <w:rsid w:val="73DE2E4B"/>
    <w:rsid w:val="74013B78"/>
    <w:rsid w:val="74196D88"/>
    <w:rsid w:val="745436E9"/>
    <w:rsid w:val="746C550D"/>
    <w:rsid w:val="748C30D6"/>
    <w:rsid w:val="74910F72"/>
    <w:rsid w:val="754C1604"/>
    <w:rsid w:val="755F4EA1"/>
    <w:rsid w:val="75D5701F"/>
    <w:rsid w:val="75DD08F5"/>
    <w:rsid w:val="75F00FE3"/>
    <w:rsid w:val="760442A1"/>
    <w:rsid w:val="76313BC2"/>
    <w:rsid w:val="763A5BE5"/>
    <w:rsid w:val="765C149A"/>
    <w:rsid w:val="768E1D0F"/>
    <w:rsid w:val="76B16F6E"/>
    <w:rsid w:val="76C26CE6"/>
    <w:rsid w:val="76CC3D72"/>
    <w:rsid w:val="76D214FF"/>
    <w:rsid w:val="76DA7A97"/>
    <w:rsid w:val="77003E52"/>
    <w:rsid w:val="77381796"/>
    <w:rsid w:val="77511142"/>
    <w:rsid w:val="77583DB8"/>
    <w:rsid w:val="77881F27"/>
    <w:rsid w:val="779D14EF"/>
    <w:rsid w:val="77A824DE"/>
    <w:rsid w:val="77B37A4A"/>
    <w:rsid w:val="77C62480"/>
    <w:rsid w:val="77F374B5"/>
    <w:rsid w:val="784241F0"/>
    <w:rsid w:val="785D0388"/>
    <w:rsid w:val="78787CEC"/>
    <w:rsid w:val="7892370F"/>
    <w:rsid w:val="78C47730"/>
    <w:rsid w:val="78CE0040"/>
    <w:rsid w:val="78D51BC9"/>
    <w:rsid w:val="78DB7356"/>
    <w:rsid w:val="78F470C8"/>
    <w:rsid w:val="78F544DF"/>
    <w:rsid w:val="78F57EFF"/>
    <w:rsid w:val="78F73E07"/>
    <w:rsid w:val="790D1AE5"/>
    <w:rsid w:val="79376225"/>
    <w:rsid w:val="795E34D3"/>
    <w:rsid w:val="796D46C6"/>
    <w:rsid w:val="79A35F22"/>
    <w:rsid w:val="79EE5F19"/>
    <w:rsid w:val="79FE686B"/>
    <w:rsid w:val="7A140357"/>
    <w:rsid w:val="7A2B3800"/>
    <w:rsid w:val="7A6B3C9D"/>
    <w:rsid w:val="7A723ABF"/>
    <w:rsid w:val="7A8F7CA1"/>
    <w:rsid w:val="7A9D64D7"/>
    <w:rsid w:val="7AB37EE9"/>
    <w:rsid w:val="7AED006A"/>
    <w:rsid w:val="7B01255E"/>
    <w:rsid w:val="7B1B4E61"/>
    <w:rsid w:val="7B3068F7"/>
    <w:rsid w:val="7B402043"/>
    <w:rsid w:val="7B613181"/>
    <w:rsid w:val="7BC13896"/>
    <w:rsid w:val="7BCA1FA7"/>
    <w:rsid w:val="7BD94624"/>
    <w:rsid w:val="7BDF7740"/>
    <w:rsid w:val="7C1E7A0C"/>
    <w:rsid w:val="7C3228D0"/>
    <w:rsid w:val="7C3841E7"/>
    <w:rsid w:val="7C5809F2"/>
    <w:rsid w:val="7C8930B9"/>
    <w:rsid w:val="7C9B0E35"/>
    <w:rsid w:val="7C9F1959"/>
    <w:rsid w:val="7CAF1A18"/>
    <w:rsid w:val="7CBC0009"/>
    <w:rsid w:val="7CBD49A9"/>
    <w:rsid w:val="7CCF3A53"/>
    <w:rsid w:val="7D0A6AAF"/>
    <w:rsid w:val="7D0B1159"/>
    <w:rsid w:val="7D0D1339"/>
    <w:rsid w:val="7D171C49"/>
    <w:rsid w:val="7D273647"/>
    <w:rsid w:val="7D3127F3"/>
    <w:rsid w:val="7D504145"/>
    <w:rsid w:val="7D7659DE"/>
    <w:rsid w:val="7DC64D97"/>
    <w:rsid w:val="7DD37FDD"/>
    <w:rsid w:val="7DF97F13"/>
    <w:rsid w:val="7E1F5E31"/>
    <w:rsid w:val="7E3215D2"/>
    <w:rsid w:val="7E4E5655"/>
    <w:rsid w:val="7E5915A3"/>
    <w:rsid w:val="7E7818D1"/>
    <w:rsid w:val="7E7C4C45"/>
    <w:rsid w:val="7E822A6A"/>
    <w:rsid w:val="7E9A34B4"/>
    <w:rsid w:val="7EA90D5A"/>
    <w:rsid w:val="7EC474A0"/>
    <w:rsid w:val="7ECF0F9A"/>
    <w:rsid w:val="7EF16320"/>
    <w:rsid w:val="7EF66C5B"/>
    <w:rsid w:val="7F235D7F"/>
    <w:rsid w:val="7F32291E"/>
    <w:rsid w:val="7F4A2B06"/>
    <w:rsid w:val="7F62060E"/>
    <w:rsid w:val="7F950052"/>
    <w:rsid w:val="7FA37A30"/>
    <w:rsid w:val="7FC14AF5"/>
    <w:rsid w:val="7FC37683"/>
    <w:rsid w:val="7FC83465"/>
    <w:rsid w:val="7FD178C3"/>
    <w:rsid w:val="7FD563E7"/>
    <w:rsid w:val="7FE21CA4"/>
    <w:rsid w:val="7FE377DD"/>
    <w:rsid w:val="7FE916E7"/>
    <w:rsid w:val="7FED018B"/>
    <w:rsid w:val="BD64C6F8"/>
    <w:rsid w:val="FFCF2D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iPriority="99"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before="340" w:after="330" w:line="576" w:lineRule="auto"/>
      <w:outlineLvl w:val="0"/>
    </w:pPr>
    <w:rPr>
      <w:b/>
      <w:kern w:val="44"/>
      <w:sz w:val="44"/>
    </w:rPr>
  </w:style>
  <w:style w:type="paragraph" w:styleId="6">
    <w:name w:val="heading 2"/>
    <w:basedOn w:val="1"/>
    <w:next w:val="1"/>
    <w:link w:val="32"/>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38"/>
    <w:semiHidden/>
    <w:unhideWhenUsed/>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next w:val="4"/>
    <w:link w:val="41"/>
    <w:semiHidden/>
    <w:unhideWhenUsed/>
    <w:qFormat/>
    <w:uiPriority w:val="99"/>
    <w:pPr>
      <w:spacing w:after="120"/>
      <w:ind w:left="420" w:leftChars="200"/>
    </w:pPr>
  </w:style>
  <w:style w:type="paragraph" w:styleId="4">
    <w:name w:val="Body Text"/>
    <w:basedOn w:val="1"/>
    <w:next w:val="3"/>
    <w:qFormat/>
    <w:uiPriority w:val="1"/>
    <w:pPr>
      <w:autoSpaceDE w:val="0"/>
      <w:autoSpaceDN w:val="0"/>
      <w:jc w:val="left"/>
    </w:pPr>
    <w:rPr>
      <w:rFonts w:ascii="Noto Sans Mono CJK JP Bold" w:hAnsi="Noto Sans Mono CJK JP Bold" w:eastAsia="Noto Sans Mono CJK JP Bold" w:cs="Noto Sans Mono CJK JP Bold"/>
      <w:kern w:val="0"/>
      <w:sz w:val="30"/>
      <w:szCs w:val="30"/>
    </w:rPr>
  </w:style>
  <w:style w:type="paragraph" w:styleId="8">
    <w:name w:val="Normal Indent"/>
    <w:basedOn w:val="1"/>
    <w:next w:val="1"/>
    <w:qFormat/>
    <w:uiPriority w:val="0"/>
    <w:pPr>
      <w:ind w:firstLine="420"/>
    </w:pPr>
    <w:rPr>
      <w:szCs w:val="20"/>
    </w:rPr>
  </w:style>
  <w:style w:type="paragraph" w:styleId="9">
    <w:name w:val="annotation text"/>
    <w:basedOn w:val="1"/>
    <w:link w:val="26"/>
    <w:qFormat/>
    <w:uiPriority w:val="0"/>
    <w:pPr>
      <w:jc w:val="left"/>
    </w:pPr>
  </w:style>
  <w:style w:type="paragraph" w:styleId="10">
    <w:name w:val="Balloon Text"/>
    <w:basedOn w:val="1"/>
    <w:link w:val="25"/>
    <w:qFormat/>
    <w:uiPriority w:val="0"/>
    <w:rPr>
      <w:sz w:val="18"/>
      <w:szCs w:val="18"/>
    </w:rPr>
  </w:style>
  <w:style w:type="paragraph" w:styleId="11">
    <w:name w:val="footer"/>
    <w:basedOn w:val="1"/>
    <w:link w:val="34"/>
    <w:qFormat/>
    <w:uiPriority w:val="0"/>
    <w:pPr>
      <w:tabs>
        <w:tab w:val="center" w:pos="4153"/>
        <w:tab w:val="right" w:pos="8306"/>
      </w:tabs>
      <w:snapToGrid w:val="0"/>
      <w:jc w:val="left"/>
    </w:pPr>
    <w:rPr>
      <w:sz w:val="18"/>
    </w:rPr>
  </w:style>
  <w:style w:type="paragraph" w:styleId="12">
    <w:name w:val="header"/>
    <w:basedOn w:val="1"/>
    <w:link w:val="3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footnote text"/>
    <w:basedOn w:val="1"/>
    <w:link w:val="36"/>
    <w:semiHidden/>
    <w:unhideWhenUsed/>
    <w:qFormat/>
    <w:uiPriority w:val="0"/>
    <w:pPr>
      <w:snapToGrid w:val="0"/>
      <w:jc w:val="left"/>
    </w:pPr>
    <w:rPr>
      <w:sz w:val="18"/>
      <w:szCs w:val="18"/>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color w:val="000000"/>
      <w:kern w:val="0"/>
      <w:sz w:val="24"/>
    </w:rPr>
  </w:style>
  <w:style w:type="paragraph" w:styleId="15">
    <w:name w:val="annotation subject"/>
    <w:basedOn w:val="9"/>
    <w:next w:val="9"/>
    <w:link w:val="27"/>
    <w:qFormat/>
    <w:uiPriority w:val="0"/>
    <w:rPr>
      <w:b/>
      <w:bCs/>
    </w:rPr>
  </w:style>
  <w:style w:type="table" w:styleId="17">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9">
    <w:name w:val="Strong"/>
    <w:basedOn w:val="18"/>
    <w:qFormat/>
    <w:uiPriority w:val="0"/>
    <w:rPr>
      <w:b/>
    </w:rPr>
  </w:style>
  <w:style w:type="character" w:styleId="20">
    <w:name w:val="page number"/>
    <w:qFormat/>
    <w:uiPriority w:val="0"/>
  </w:style>
  <w:style w:type="character" w:styleId="21">
    <w:name w:val="Emphasis"/>
    <w:basedOn w:val="18"/>
    <w:qFormat/>
    <w:uiPriority w:val="0"/>
    <w:rPr>
      <w:i/>
    </w:rPr>
  </w:style>
  <w:style w:type="character" w:styleId="22">
    <w:name w:val="annotation reference"/>
    <w:basedOn w:val="18"/>
    <w:qFormat/>
    <w:uiPriority w:val="0"/>
    <w:rPr>
      <w:sz w:val="21"/>
      <w:szCs w:val="21"/>
    </w:rPr>
  </w:style>
  <w:style w:type="character" w:styleId="23">
    <w:name w:val="footnote reference"/>
    <w:basedOn w:val="18"/>
    <w:semiHidden/>
    <w:unhideWhenUsed/>
    <w:qFormat/>
    <w:uiPriority w:val="0"/>
    <w:rPr>
      <w:vertAlign w:val="superscript"/>
    </w:rPr>
  </w:style>
  <w:style w:type="paragraph" w:customStyle="1" w:styleId="24">
    <w:name w:val="Body Text First Indent1"/>
    <w:basedOn w:val="4"/>
    <w:next w:val="1"/>
    <w:qFormat/>
    <w:uiPriority w:val="0"/>
    <w:pPr>
      <w:ind w:firstLine="420" w:firstLineChars="100"/>
    </w:pPr>
  </w:style>
  <w:style w:type="character" w:customStyle="1" w:styleId="25">
    <w:name w:val="批注框文本 Char"/>
    <w:basedOn w:val="18"/>
    <w:link w:val="10"/>
    <w:qFormat/>
    <w:uiPriority w:val="0"/>
    <w:rPr>
      <w:rFonts w:asciiTheme="minorHAnsi" w:hAnsiTheme="minorHAnsi" w:eastAsiaTheme="minorEastAsia" w:cstheme="minorBidi"/>
      <w:kern w:val="2"/>
      <w:sz w:val="18"/>
      <w:szCs w:val="18"/>
    </w:rPr>
  </w:style>
  <w:style w:type="character" w:customStyle="1" w:styleId="26">
    <w:name w:val="批注文字 Char"/>
    <w:basedOn w:val="18"/>
    <w:link w:val="9"/>
    <w:qFormat/>
    <w:uiPriority w:val="0"/>
    <w:rPr>
      <w:rFonts w:asciiTheme="minorHAnsi" w:hAnsiTheme="minorHAnsi" w:eastAsiaTheme="minorEastAsia" w:cstheme="minorBidi"/>
      <w:kern w:val="2"/>
      <w:sz w:val="21"/>
      <w:szCs w:val="24"/>
    </w:rPr>
  </w:style>
  <w:style w:type="character" w:customStyle="1" w:styleId="27">
    <w:name w:val="批注主题 Char"/>
    <w:basedOn w:val="26"/>
    <w:link w:val="15"/>
    <w:qFormat/>
    <w:uiPriority w:val="0"/>
    <w:rPr>
      <w:rFonts w:asciiTheme="minorHAnsi" w:hAnsiTheme="minorHAnsi" w:eastAsiaTheme="minorEastAsia" w:cstheme="minorBidi"/>
      <w:b/>
      <w:bCs/>
      <w:kern w:val="2"/>
      <w:sz w:val="21"/>
      <w:szCs w:val="24"/>
    </w:rPr>
  </w:style>
  <w:style w:type="paragraph" w:customStyle="1" w:styleId="28">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9">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styleId="30">
    <w:name w:val="List Paragraph"/>
    <w:basedOn w:val="1"/>
    <w:unhideWhenUsed/>
    <w:qFormat/>
    <w:uiPriority w:val="34"/>
    <w:pPr>
      <w:ind w:firstLine="420" w:firstLineChars="200"/>
    </w:pPr>
  </w:style>
  <w:style w:type="paragraph" w:customStyle="1" w:styleId="31">
    <w:name w:val="修订3"/>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2">
    <w:name w:val="标题 2 Char"/>
    <w:basedOn w:val="18"/>
    <w:link w:val="6"/>
    <w:semiHidden/>
    <w:qFormat/>
    <w:uiPriority w:val="0"/>
    <w:rPr>
      <w:rFonts w:asciiTheme="majorHAnsi" w:hAnsiTheme="majorHAnsi" w:eastAsiaTheme="majorEastAsia" w:cstheme="majorBidi"/>
      <w:b/>
      <w:bCs/>
      <w:kern w:val="2"/>
      <w:sz w:val="32"/>
      <w:szCs w:val="32"/>
    </w:rPr>
  </w:style>
  <w:style w:type="character" w:customStyle="1" w:styleId="33">
    <w:name w:val="页眉 Char"/>
    <w:basedOn w:val="18"/>
    <w:link w:val="12"/>
    <w:qFormat/>
    <w:uiPriority w:val="99"/>
    <w:rPr>
      <w:rFonts w:asciiTheme="minorHAnsi" w:hAnsiTheme="minorHAnsi" w:eastAsiaTheme="minorEastAsia" w:cstheme="minorBidi"/>
      <w:kern w:val="2"/>
      <w:sz w:val="18"/>
      <w:szCs w:val="24"/>
    </w:rPr>
  </w:style>
  <w:style w:type="character" w:customStyle="1" w:styleId="34">
    <w:name w:val="页脚 Char"/>
    <w:basedOn w:val="18"/>
    <w:link w:val="11"/>
    <w:qFormat/>
    <w:uiPriority w:val="0"/>
    <w:rPr>
      <w:rFonts w:asciiTheme="minorHAnsi" w:hAnsiTheme="minorHAnsi" w:eastAsiaTheme="minorEastAsia" w:cstheme="minorBidi"/>
      <w:kern w:val="2"/>
      <w:sz w:val="18"/>
      <w:szCs w:val="24"/>
    </w:rPr>
  </w:style>
  <w:style w:type="paragraph" w:customStyle="1" w:styleId="35">
    <w:name w:val="修订4"/>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36">
    <w:name w:val="脚注文本 Char"/>
    <w:basedOn w:val="18"/>
    <w:link w:val="13"/>
    <w:semiHidden/>
    <w:qFormat/>
    <w:uiPriority w:val="0"/>
    <w:rPr>
      <w:kern w:val="2"/>
      <w:sz w:val="18"/>
      <w:szCs w:val="18"/>
    </w:rPr>
  </w:style>
  <w:style w:type="paragraph" w:customStyle="1" w:styleId="37">
    <w:name w:val="修订5"/>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8">
    <w:name w:val="标题 3 Char"/>
    <w:basedOn w:val="18"/>
    <w:link w:val="7"/>
    <w:semiHidden/>
    <w:qFormat/>
    <w:uiPriority w:val="0"/>
    <w:rPr>
      <w:rFonts w:asciiTheme="minorHAnsi" w:hAnsiTheme="minorHAnsi" w:eastAsiaTheme="minorEastAsia" w:cstheme="minorBidi"/>
      <w:b/>
      <w:bCs/>
      <w:kern w:val="2"/>
      <w:sz w:val="32"/>
      <w:szCs w:val="32"/>
    </w:rPr>
  </w:style>
  <w:style w:type="paragraph" w:customStyle="1" w:styleId="39">
    <w:name w:val="Default"/>
    <w:qFormat/>
    <w:uiPriority w:val="0"/>
    <w:pPr>
      <w:widowControl w:val="0"/>
      <w:autoSpaceDE w:val="0"/>
      <w:autoSpaceDN w:val="0"/>
      <w:adjustRightInd w:val="0"/>
    </w:pPr>
    <w:rPr>
      <w:rFonts w:ascii="楷体" w:hAnsi="楷体" w:cs="楷体" w:eastAsiaTheme="minorEastAsia"/>
      <w:color w:val="000000"/>
      <w:sz w:val="24"/>
      <w:szCs w:val="24"/>
      <w:lang w:val="en-US" w:eastAsia="zh-CN" w:bidi="ar-SA"/>
    </w:rPr>
  </w:style>
  <w:style w:type="character" w:customStyle="1" w:styleId="40">
    <w:name w:val="不明显强调1"/>
    <w:qFormat/>
    <w:uiPriority w:val="19"/>
    <w:rPr>
      <w:rFonts w:ascii="仿宋" w:hAnsi="仿宋" w:eastAsia="仿宋" w:cs="Times New Roman"/>
      <w:sz w:val="32"/>
      <w:szCs w:val="32"/>
    </w:rPr>
  </w:style>
  <w:style w:type="character" w:customStyle="1" w:styleId="41">
    <w:name w:val="正文文本缩进 Char"/>
    <w:basedOn w:val="18"/>
    <w:link w:val="3"/>
    <w:semiHidden/>
    <w:qFormat/>
    <w:uiPriority w:val="99"/>
    <w:rPr>
      <w:rFonts w:asciiTheme="minorHAnsi" w:hAnsiTheme="minorHAnsi" w:eastAsiaTheme="minorEastAsia" w:cstheme="minorBidi"/>
      <w:kern w:val="2"/>
      <w:sz w:val="21"/>
      <w:szCs w:val="24"/>
    </w:rPr>
  </w:style>
  <w:style w:type="paragraph" w:customStyle="1" w:styleId="42">
    <w:name w:val="修订6"/>
    <w:hidden/>
    <w:unhideWhenUsed/>
    <w:qFormat/>
    <w:uiPriority w:val="99"/>
    <w:rPr>
      <w:rFonts w:asciiTheme="minorHAnsi" w:hAnsiTheme="minorHAnsi" w:eastAsiaTheme="minorEastAsia" w:cstheme="minorBidi"/>
      <w:kern w:val="2"/>
      <w:sz w:val="21"/>
      <w:szCs w:val="24"/>
      <w:lang w:val="en-US" w:eastAsia="zh-CN" w:bidi="ar-SA"/>
    </w:rPr>
  </w:style>
  <w:style w:type="character" w:styleId="43">
    <w:name w:val="Placeholder Text"/>
    <w:basedOn w:val="18"/>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4.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5" Type="http://schemas.openxmlformats.org/officeDocument/2006/relationships/image" Target="media/image5.png"/><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8A1CD0ACEFB685468ADC9D3ECFE50AA2" ma:contentTypeVersion="0" ma:contentTypeDescription="新建文档。" ma:contentTypeScope="" ma:versionID="def0500d8bfa075d08ce612c1990ead7">
  <xsd:schema xmlns:xsd="http://www.w3.org/2001/XMLSchema" xmlns:xs="http://www.w3.org/2001/XMLSchema" xmlns:p="http://schemas.microsoft.com/office/2006/metadata/properties" targetNamespace="http://schemas.microsoft.com/office/2006/metadata/properties" ma:root="true" ma:fieldsID="9adfd09ad98667f9c194c646e975416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929AB0-C7C9-41EF-8792-9D29E3E4B1DF}">
  <ds:schemaRefs/>
</ds:datastoreItem>
</file>

<file path=customXml/itemProps3.xml><?xml version="1.0" encoding="utf-8"?>
<ds:datastoreItem xmlns:ds="http://schemas.openxmlformats.org/officeDocument/2006/customXml" ds:itemID="{FB595917-B52A-4752-9DDB-DA8981109C53}">
  <ds:schemaRefs/>
</ds:datastoreItem>
</file>

<file path=customXml/itemProps4.xml><?xml version="1.0" encoding="utf-8"?>
<ds:datastoreItem xmlns:ds="http://schemas.openxmlformats.org/officeDocument/2006/customXml" ds:itemID="{C0D1ED46-448C-4959-A852-A2AEDC137DE6}">
  <ds:schemaRefs/>
</ds:datastoreItem>
</file>

<file path=docProps/app.xml><?xml version="1.0" encoding="utf-8"?>
<Properties xmlns="http://schemas.openxmlformats.org/officeDocument/2006/extended-properties" xmlns:vt="http://schemas.openxmlformats.org/officeDocument/2006/docPropsVTypes">
  <Pages>33</Pages>
  <Words>2681</Words>
  <Characters>15287</Characters>
  <Lines>1</Lines>
  <Paragraphs>1</Paragraphs>
  <TotalTime>50</TotalTime>
  <ScaleCrop>false</ScaleCrop>
  <LinksUpToDate>false</LinksUpToDate>
  <CharactersWithSpaces>17933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2023-02-15T09:54:00Z</dcterms:created>
  <dc:creator>章涛(tzhang)</dc:creator>
  <cp:lastModifiedBy>司楠</cp:lastModifiedBy>
  <cp:lastPrinted>2024-01-02T10:08:00Z</cp:lastPrinted>
  <dcterms:modified xsi:type="dcterms:W3CDTF">2025-11-05T07:49:21Z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ContentTypeId">
    <vt:lpwstr>0x0101008A1CD0ACEFB685468ADC9D3ECFE50AA2</vt:lpwstr>
  </property>
  <property fmtid="{D5CDD505-2E9C-101B-9397-08002B2CF9AE}" pid="4" name="ICV">
    <vt:lpwstr>73FF2ED4FBCD424AB9249E8C060AC946</vt:lpwstr>
  </property>
</Properties>
</file>