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6" w:beforeLines="100" w:after="316" w:afterLines="100" w:line="560" w:lineRule="exact"/>
        <w:jc w:val="center"/>
        <w:textAlignment w:val="center"/>
        <w:rPr>
          <w:rFonts w:ascii="Times New Roman" w:hAnsi="Times New Roman" w:eastAsia="方正小标宋简体"/>
          <w:color w:val="000000"/>
          <w:spacing w:val="12"/>
          <w:sz w:val="44"/>
          <w:szCs w:val="44"/>
          <w:highlight w:val="none"/>
        </w:rPr>
      </w:pPr>
      <w:bookmarkStart w:id="6" w:name="_GoBack"/>
      <w:bookmarkEnd w:id="6"/>
      <w:bookmarkStart w:id="0" w:name="_Toc1952384747"/>
      <w:bookmarkStart w:id="1" w:name="_Toc1985683688"/>
      <w:bookmarkStart w:id="2" w:name="_Toc1367951469"/>
      <w:bookmarkStart w:id="3" w:name="_Toc1574714070"/>
      <w:bookmarkStart w:id="4" w:name="_Toc487457050"/>
      <w:bookmarkStart w:id="5" w:name="_Toc740857988"/>
      <w:r>
        <w:rPr>
          <w:rFonts w:ascii="Times New Roman" w:hAnsi="Times New Roman" w:eastAsia="方正小标宋简体"/>
          <w:color w:val="000000"/>
          <w:spacing w:val="12"/>
          <w:sz w:val="44"/>
          <w:szCs w:val="44"/>
          <w:highlight w:val="none"/>
        </w:rPr>
        <w:drawing>
          <wp:anchor distT="0" distB="0" distL="114300" distR="114300" simplePos="0" relativeHeight="251676672" behindDoc="0" locked="0" layoutInCell="1" allowOverlap="1">
            <wp:simplePos x="0" y="0"/>
            <wp:positionH relativeFrom="column">
              <wp:posOffset>-8840470</wp:posOffset>
            </wp:positionH>
            <wp:positionV relativeFrom="page">
              <wp:posOffset>-102235</wp:posOffset>
            </wp:positionV>
            <wp:extent cx="15362555" cy="10425430"/>
            <wp:effectExtent l="0" t="0" r="14605"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2555" cy="10425430"/>
                    </a:xfrm>
                    <a:prstGeom prst="rect">
                      <a:avLst/>
                    </a:prstGeom>
                  </pic:spPr>
                </pic:pic>
              </a:graphicData>
            </a:graphic>
          </wp:anchor>
        </w:drawing>
      </w:r>
      <w:r>
        <w:rPr>
          <w:rFonts w:ascii="Times New Roman" w:hAnsi="Times New Roman" w:eastAsia="方正小标宋简体"/>
          <w:color w:val="000000"/>
          <w:spacing w:val="12"/>
          <w:sz w:val="44"/>
          <w:szCs w:val="44"/>
          <w:highlight w:val="none"/>
        </w:rPr>
        <mc:AlternateContent>
          <mc:Choice Requires="wps">
            <w:drawing>
              <wp:anchor distT="0" distB="0" distL="114300" distR="114300" simplePos="0" relativeHeight="251672576" behindDoc="0" locked="0" layoutInCell="1" allowOverlap="1">
                <wp:simplePos x="0" y="0"/>
                <wp:positionH relativeFrom="column">
                  <wp:posOffset>2252345</wp:posOffset>
                </wp:positionH>
                <wp:positionV relativeFrom="paragraph">
                  <wp:posOffset>1925955</wp:posOffset>
                </wp:positionV>
                <wp:extent cx="2308225" cy="441960"/>
                <wp:effectExtent l="0" t="0" r="8255"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08072" cy="442032"/>
                        </a:xfrm>
                        <a:prstGeom prst="rect">
                          <a:avLst/>
                        </a:prstGeom>
                        <a:solidFill>
                          <a:srgbClr val="FFFFFF"/>
                        </a:solidFill>
                        <a:ln w="9525">
                          <a:noFill/>
                          <a:miter lim="800000"/>
                        </a:ln>
                      </wps:spPr>
                      <wps:txbx>
                        <w:txbxContent>
                          <w:p>
                            <w:pPr>
                              <w:rPr>
                                <w:rFonts w:ascii="楷体" w:hAnsi="楷体" w:eastAsia="楷体"/>
                                <w:b/>
                                <w:sz w:val="28"/>
                                <w:szCs w:val="28"/>
                              </w:rPr>
                            </w:pPr>
                            <w:r>
                              <w:rPr>
                                <w:rFonts w:hint="eastAsia" w:ascii="楷体" w:hAnsi="楷体" w:eastAsia="楷体"/>
                                <w:b/>
                                <w:sz w:val="28"/>
                                <w:szCs w:val="28"/>
                              </w:rPr>
                              <w:t>202</w:t>
                            </w:r>
                            <w:r>
                              <w:rPr>
                                <w:rFonts w:hint="eastAsia" w:ascii="楷体" w:hAnsi="楷体" w:eastAsia="楷体"/>
                                <w:b/>
                                <w:sz w:val="28"/>
                                <w:szCs w:val="28"/>
                                <w:lang w:val="en-US" w:eastAsia="zh-CN"/>
                              </w:rPr>
                              <w:t>5</w:t>
                            </w:r>
                            <w:r>
                              <w:rPr>
                                <w:rFonts w:hint="eastAsia" w:ascii="楷体" w:hAnsi="楷体" w:eastAsia="楷体"/>
                                <w:b/>
                                <w:sz w:val="28"/>
                                <w:szCs w:val="28"/>
                              </w:rPr>
                              <w:t>年第</w:t>
                            </w:r>
                            <w:r>
                              <w:rPr>
                                <w:rFonts w:hint="eastAsia" w:ascii="楷体" w:hAnsi="楷体" w:eastAsia="楷体"/>
                                <w:b/>
                                <w:sz w:val="28"/>
                                <w:szCs w:val="28"/>
                                <w:lang w:val="en-US" w:eastAsia="zh-CN"/>
                              </w:rPr>
                              <w:t>4</w:t>
                            </w:r>
                            <w:r>
                              <w:rPr>
                                <w:rFonts w:hint="eastAsia" w:ascii="楷体" w:hAnsi="楷体" w:eastAsia="楷体"/>
                                <w:b/>
                                <w:sz w:val="28"/>
                                <w:szCs w:val="28"/>
                              </w:rPr>
                              <w:t>期（总第</w:t>
                            </w:r>
                            <w:r>
                              <w:rPr>
                                <w:rFonts w:hint="eastAsia" w:ascii="楷体" w:hAnsi="楷体" w:eastAsia="楷体"/>
                                <w:b/>
                                <w:sz w:val="28"/>
                                <w:szCs w:val="28"/>
                                <w:lang w:val="en-US" w:eastAsia="zh-CN"/>
                              </w:rPr>
                              <w:t>14</w:t>
                            </w:r>
                            <w:r>
                              <w:rPr>
                                <w:rFonts w:hint="eastAsia" w:ascii="楷体" w:hAnsi="楷体" w:eastAsia="楷体"/>
                                <w:b/>
                                <w:sz w:val="28"/>
                                <w:szCs w:val="28"/>
                              </w:rPr>
                              <w:t>期）</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7.35pt;margin-top:151.65pt;height:34.8pt;width:181.75pt;z-index:251672576;mso-width-relative:page;mso-height-relative:page;" fillcolor="#FFFFFF" filled="t" stroked="f" coordsize="21600,21600" o:gfxdata="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fbqNkAAAALAQAADwAAAAAAAAABACAAAAAiAAAAZHJzL2Rv&#10;d25yZXYueG1sUEsBAhQAFAAAAAgAh07iQH0ixFo5AgAAUgQAAA4AAAAAAAAAAQAgAAAAKAEAAGRy&#10;cy9lMm9Eb2MueG1sUEsFBgAAAAAGAAYAWQEAANMFAAAAAA==&#10;">
                <v:fill on="t" focussize="0,0"/>
                <v:stroke on="f" miterlimit="8" joinstyle="miter"/>
                <v:imagedata o:title=""/>
                <o:lock v:ext="edit" aspectratio="f"/>
                <v:textbox>
                  <w:txbxContent>
                    <w:p>
                      <w:pPr>
                        <w:rPr>
                          <w:rFonts w:ascii="楷体" w:hAnsi="楷体" w:eastAsia="楷体"/>
                          <w:b/>
                          <w:sz w:val="28"/>
                          <w:szCs w:val="28"/>
                        </w:rPr>
                      </w:pPr>
                      <w:r>
                        <w:rPr>
                          <w:rFonts w:hint="eastAsia" w:ascii="楷体" w:hAnsi="楷体" w:eastAsia="楷体"/>
                          <w:b/>
                          <w:sz w:val="28"/>
                          <w:szCs w:val="28"/>
                        </w:rPr>
                        <w:t>202</w:t>
                      </w:r>
                      <w:r>
                        <w:rPr>
                          <w:rFonts w:hint="eastAsia" w:ascii="楷体" w:hAnsi="楷体" w:eastAsia="楷体"/>
                          <w:b/>
                          <w:sz w:val="28"/>
                          <w:szCs w:val="28"/>
                          <w:lang w:val="en-US" w:eastAsia="zh-CN"/>
                        </w:rPr>
                        <w:t>5</w:t>
                      </w:r>
                      <w:r>
                        <w:rPr>
                          <w:rFonts w:hint="eastAsia" w:ascii="楷体" w:hAnsi="楷体" w:eastAsia="楷体"/>
                          <w:b/>
                          <w:sz w:val="28"/>
                          <w:szCs w:val="28"/>
                        </w:rPr>
                        <w:t>年第</w:t>
                      </w:r>
                      <w:r>
                        <w:rPr>
                          <w:rFonts w:hint="eastAsia" w:ascii="楷体" w:hAnsi="楷体" w:eastAsia="楷体"/>
                          <w:b/>
                          <w:sz w:val="28"/>
                          <w:szCs w:val="28"/>
                          <w:lang w:val="en-US" w:eastAsia="zh-CN"/>
                        </w:rPr>
                        <w:t>4</w:t>
                      </w:r>
                      <w:r>
                        <w:rPr>
                          <w:rFonts w:hint="eastAsia" w:ascii="楷体" w:hAnsi="楷体" w:eastAsia="楷体"/>
                          <w:b/>
                          <w:sz w:val="28"/>
                          <w:szCs w:val="28"/>
                        </w:rPr>
                        <w:t>期（总第</w:t>
                      </w:r>
                      <w:r>
                        <w:rPr>
                          <w:rFonts w:hint="eastAsia" w:ascii="楷体" w:hAnsi="楷体" w:eastAsia="楷体"/>
                          <w:b/>
                          <w:sz w:val="28"/>
                          <w:szCs w:val="28"/>
                          <w:lang w:val="en-US" w:eastAsia="zh-CN"/>
                        </w:rPr>
                        <w:t>14</w:t>
                      </w:r>
                      <w:r>
                        <w:rPr>
                          <w:rFonts w:hint="eastAsia" w:ascii="楷体" w:hAnsi="楷体" w:eastAsia="楷体"/>
                          <w:b/>
                          <w:sz w:val="28"/>
                          <w:szCs w:val="28"/>
                        </w:rPr>
                        <w:t>期）</w:t>
                      </w:r>
                    </w:p>
                  </w:txbxContent>
                </v:textbox>
              </v:shape>
            </w:pict>
          </mc:Fallback>
        </mc:AlternateContent>
      </w:r>
    </w:p>
    <w:p>
      <w:pPr>
        <w:spacing w:before="158" w:beforeLines="50" w:line="560" w:lineRule="exact"/>
        <w:ind w:right="1049"/>
        <w:jc w:val="right"/>
        <w:textAlignment w:val="center"/>
        <w:rPr>
          <w:rFonts w:ascii="Times New Roman" w:hAnsi="Times New Roman" w:eastAsia="方正小标宋简体"/>
          <w:b/>
          <w:bCs/>
          <w:spacing w:val="312"/>
          <w:kern w:val="0"/>
          <w:sz w:val="56"/>
          <w:szCs w:val="56"/>
          <w:highlight w:val="none"/>
        </w:rPr>
        <w:sectPr>
          <w:headerReference r:id="rId3" w:type="default"/>
          <w:footerReference r:id="rId4" w:type="default"/>
          <w:pgSz w:w="11906" w:h="16157"/>
          <w:pgMar w:top="1440" w:right="1800" w:bottom="1440" w:left="1800" w:header="964" w:footer="1077" w:gutter="0"/>
          <w:pgNumType w:fmt="decimal"/>
          <w:cols w:space="0" w:num="1"/>
          <w:formProt w:val="1"/>
          <w:docGrid w:type="lines" w:linePitch="316" w:charSpace="0"/>
        </w:sectPr>
      </w:pPr>
    </w:p>
    <w:p>
      <w:pPr>
        <w:spacing w:before="158" w:beforeLines="50" w:after="158" w:afterLines="50" w:line="560" w:lineRule="exact"/>
        <w:jc w:val="center"/>
        <w:textAlignment w:val="center"/>
        <w:rPr>
          <w:rFonts w:ascii="Times New Roman" w:hAnsi="Times New Roman" w:eastAsia="方正小标宋简体"/>
          <w:b/>
          <w:bCs/>
          <w:sz w:val="48"/>
          <w:szCs w:val="48"/>
          <w:highlight w:val="none"/>
        </w:rPr>
      </w:pPr>
      <w:r>
        <w:rPr>
          <w:rFonts w:ascii="Times New Roman" w:hAnsi="Times New Roman" w:eastAsia="方正小标宋简体" w:cs="Times New Roman"/>
          <w:b/>
          <w:bCs/>
          <w:spacing w:val="7704"/>
          <w:kern w:val="0"/>
          <w:sz w:val="52"/>
          <w:szCs w:val="52"/>
          <w:highlight w:val="none"/>
          <w:fitText w:val="8224" w:id="-1776563968"/>
        </w:rPr>
        <mc:AlternateContent>
          <mc:Choice Requires="wps">
            <w:drawing>
              <wp:anchor distT="0" distB="0" distL="114300" distR="114300" simplePos="0" relativeHeight="251666432" behindDoc="0" locked="0" layoutInCell="1" allowOverlap="1">
                <wp:simplePos x="0" y="0"/>
                <wp:positionH relativeFrom="column">
                  <wp:posOffset>3927475</wp:posOffset>
                </wp:positionH>
                <wp:positionV relativeFrom="paragraph">
                  <wp:posOffset>-5476875</wp:posOffset>
                </wp:positionV>
                <wp:extent cx="2374265" cy="140398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ln>
                      </wps:spPr>
                      <wps:txbx>
                        <w:txbxContent>
                          <w:p>
                            <w:pPr>
                              <w:rPr>
                                <w:rFonts w:ascii="楷体" w:hAnsi="楷体" w:eastAsia="楷体"/>
                                <w:b/>
                                <w:sz w:val="24"/>
                              </w:rPr>
                            </w:pPr>
                            <w:r>
                              <w:rPr>
                                <w:rFonts w:hint="eastAsia" w:ascii="楷体" w:hAnsi="楷体" w:eastAsia="楷体"/>
                                <w:b/>
                                <w:sz w:val="24"/>
                              </w:rPr>
                              <w:t>2021年第5期（总第11期）</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309.25pt;margin-top:-431.25pt;height:110.55pt;width:186.95pt;z-index:251666432;mso-width-relative:margin;mso-height-relative:margin;mso-width-percent:400;mso-height-percent:200;" filled="f" stroked="f" coordsize="21600,21600" o:gfxdata="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NwsT2gAAAA0BAAAPAAAAAAAAAAEAIAAAACIAAABkcnMvZG93bnJldi54bWxQSwECFAAU&#10;AAAACACHTuJA6QnjLCgCAAAsBAAADgAAAAAAAAABACAAAAApAQAAZHJzL2Uyb0RvYy54bWxQSwUG&#10;AAAAAAYABgBZAQAAwwUAAAAA&#10;">
                <v:fill on="f" focussize="0,0"/>
                <v:stroke on="f" miterlimit="8" joinstyle="miter"/>
                <v:imagedata o:title=""/>
                <o:lock v:ext="edit" aspectratio="f"/>
                <v:textbox style="mso-fit-shape-to-text:t;">
                  <w:txbxContent>
                    <w:p>
                      <w:pPr>
                        <w:rPr>
                          <w:rFonts w:ascii="楷体" w:hAnsi="楷体" w:eastAsia="楷体"/>
                          <w:b/>
                          <w:sz w:val="24"/>
                        </w:rPr>
                      </w:pPr>
                      <w:r>
                        <w:rPr>
                          <w:rFonts w:hint="eastAsia" w:ascii="楷体" w:hAnsi="楷体" w:eastAsia="楷体"/>
                          <w:b/>
                          <w:sz w:val="24"/>
                        </w:rPr>
                        <w:t>2021年第5期（总第11期）</w:t>
                      </w:r>
                    </w:p>
                  </w:txbxContent>
                </v:textbox>
              </v:shape>
            </w:pict>
          </mc:Fallback>
        </mc:AlternateContent>
      </w:r>
      <w:r>
        <w:rPr>
          <w:rFonts w:hint="eastAsia" w:ascii="Times New Roman" w:hAnsi="Times New Roman" w:eastAsia="方正小标宋简体" w:cs="Times New Roman"/>
          <w:b/>
          <w:bCs/>
          <w:spacing w:val="61"/>
          <w:kern w:val="0"/>
          <w:sz w:val="52"/>
          <w:szCs w:val="52"/>
          <w:highlight w:val="none"/>
          <w:fitText w:val="8224" w:id="787949873"/>
        </w:rPr>
        <w:t>深圳证券交易所会计监管动</w:t>
      </w:r>
      <w:r>
        <w:rPr>
          <w:rFonts w:hint="eastAsia" w:ascii="Times New Roman" w:hAnsi="Times New Roman" w:eastAsia="方正小标宋简体" w:cs="Times New Roman"/>
          <w:b/>
          <w:bCs/>
          <w:spacing w:val="0"/>
          <w:kern w:val="0"/>
          <w:sz w:val="52"/>
          <w:szCs w:val="52"/>
          <w:highlight w:val="none"/>
          <w:fitText w:val="8224" w:id="787949873"/>
        </w:rPr>
        <w:t>态</w:t>
      </w:r>
      <w:r>
        <w:rPr>
          <w:rFonts w:ascii="Times New Roman" w:hAnsi="Times New Roman" w:eastAsia="Noto Sans Mono CJK JP Bold"/>
          <w:sz w:val="48"/>
          <w:szCs w:val="48"/>
          <w:highlight w:val="none"/>
        </w:rPr>
        <mc:AlternateContent>
          <mc:Choice Requires="wps">
            <w:drawing>
              <wp:anchor distT="0" distB="0" distL="114300" distR="114300" simplePos="0" relativeHeight="251667456" behindDoc="1" locked="0" layoutInCell="1" allowOverlap="1">
                <wp:simplePos x="0" y="0"/>
                <wp:positionH relativeFrom="page">
                  <wp:posOffset>946150</wp:posOffset>
                </wp:positionH>
                <wp:positionV relativeFrom="paragraph">
                  <wp:posOffset>543560</wp:posOffset>
                </wp:positionV>
                <wp:extent cx="5769610" cy="40640"/>
                <wp:effectExtent l="19050" t="19050" r="33020" b="3175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5769610" cy="40640"/>
                        </a:xfrm>
                        <a:prstGeom prst="rect">
                          <a:avLst/>
                        </a:prstGeom>
                        <a:solidFill>
                          <a:srgbClr val="E6E7E8"/>
                        </a:solidFill>
                        <a:ln w="38100">
                          <a:solidFill>
                            <a:schemeClr val="bg1">
                              <a:lumMod val="85000"/>
                            </a:schemeClr>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4.5pt;margin-top:42.8pt;height:3.2pt;width:454.3pt;mso-position-horizontal-relative:page;z-index:-251649024;mso-width-relative:page;mso-height-relative:page;" fillcolor="#E6E7E8" filled="t" stroked="t" coordsize="21600,21600" o:gfxdata="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J7uQ2AAAAAoBAAAPAAAAAAAA&#10;AAEAIAAAACIAAABkcnMvZG93bnJldi54bWxQSwECFAAUAAAACACHTuJADhLRJ0sCAACTBAAADgAA&#10;AAAAAAABACAAAAAnAQAAZHJzL2Uyb0RvYy54bWxQSwUGAAAAAAYABgBZAQAA5AUAAAAA&#10;">
                <v:fill on="t" focussize="0,0"/>
                <v:stroke weight="3pt" color="#D9D9D9 [2732]" miterlimit="8" joinstyle="miter"/>
                <v:imagedata o:title=""/>
                <o:lock v:ext="edit" aspectratio="f"/>
              </v:rect>
            </w:pict>
          </mc:Fallback>
        </mc:AlternateContent>
      </w:r>
    </w:p>
    <w:p>
      <w:pPr>
        <w:pStyle w:val="3"/>
        <w:spacing w:line="560" w:lineRule="exact"/>
        <w:ind w:left="5250"/>
        <w:jc w:val="both"/>
        <w:textAlignment w:val="center"/>
        <w:rPr>
          <w:rFonts w:ascii="Times New Roman" w:hAnsi="Times New Roman"/>
          <w:sz w:val="20"/>
          <w:highlight w:val="none"/>
        </w:rPr>
      </w:pPr>
      <w:r>
        <w:rPr>
          <w:rFonts w:ascii="Times New Roman" w:hAnsi="Times New Roman" w:eastAsia="黑体"/>
          <w:highlight w:val="none"/>
        </w:rPr>
        <mc:AlternateContent>
          <mc:Choice Requires="wps">
            <w:drawing>
              <wp:anchor distT="0" distB="0" distL="114300" distR="114300" simplePos="0" relativeHeight="251668480" behindDoc="0" locked="0" layoutInCell="1" allowOverlap="1">
                <wp:simplePos x="0" y="0"/>
                <wp:positionH relativeFrom="column">
                  <wp:posOffset>3545840</wp:posOffset>
                </wp:positionH>
                <wp:positionV relativeFrom="paragraph">
                  <wp:posOffset>35560</wp:posOffset>
                </wp:positionV>
                <wp:extent cx="2026920" cy="346710"/>
                <wp:effectExtent l="0" t="0" r="0" b="0"/>
                <wp:wrapNone/>
                <wp:docPr id="19" name="矩形 19"/>
                <wp:cNvGraphicFramePr/>
                <a:graphic xmlns:a="http://schemas.openxmlformats.org/drawingml/2006/main">
                  <a:graphicData uri="http://schemas.microsoft.com/office/word/2010/wordprocessingShape">
                    <wps:wsp>
                      <wps:cNvSpPr/>
                      <wps:spPr>
                        <a:xfrm>
                          <a:off x="0" y="0"/>
                          <a:ext cx="2026920" cy="346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202</w:t>
                            </w:r>
                            <w:r>
                              <w:rPr>
                                <w:rFonts w:hint="eastAsia" w:ascii="楷体" w:hAnsi="楷体" w:eastAsia="楷体"/>
                                <w:b/>
                                <w:color w:val="000000" w:themeColor="text1"/>
                                <w:sz w:val="24"/>
                                <w:lang w:val="en-US" w:eastAsia="zh-CN"/>
                                <w14:textFill>
                                  <w14:solidFill>
                                    <w14:schemeClr w14:val="tx1"/>
                                  </w14:solidFill>
                                </w14:textFill>
                              </w:rPr>
                              <w:t>5</w:t>
                            </w:r>
                            <w:r>
                              <w:rPr>
                                <w:rFonts w:hint="eastAsia" w:ascii="楷体" w:hAnsi="楷体" w:eastAsia="楷体"/>
                                <w:b/>
                                <w:color w:val="000000" w:themeColor="text1"/>
                                <w:sz w:val="24"/>
                                <w14:textFill>
                                  <w14:solidFill>
                                    <w14:schemeClr w14:val="tx1"/>
                                  </w14:solidFill>
                                </w14:textFill>
                              </w:rPr>
                              <w:t>年第</w:t>
                            </w:r>
                            <w:r>
                              <w:rPr>
                                <w:rFonts w:hint="eastAsia" w:ascii="楷体" w:hAnsi="楷体" w:eastAsia="楷体"/>
                                <w:b/>
                                <w:color w:val="000000" w:themeColor="text1"/>
                                <w:sz w:val="24"/>
                                <w:lang w:val="en-US" w:eastAsia="zh-CN"/>
                                <w14:textFill>
                                  <w14:solidFill>
                                    <w14:schemeClr w14:val="tx1"/>
                                  </w14:solidFill>
                                </w14:textFill>
                              </w:rPr>
                              <w:t>4</w:t>
                            </w:r>
                            <w:r>
                              <w:rPr>
                                <w:rFonts w:hint="eastAsia" w:ascii="楷体" w:hAnsi="楷体" w:eastAsia="楷体"/>
                                <w:b/>
                                <w:color w:val="000000" w:themeColor="text1"/>
                                <w:sz w:val="24"/>
                                <w14:textFill>
                                  <w14:solidFill>
                                    <w14:schemeClr w14:val="tx1"/>
                                  </w14:solidFill>
                                </w14:textFill>
                              </w:rPr>
                              <w:t>期（总第</w:t>
                            </w:r>
                            <w:r>
                              <w:rPr>
                                <w:rFonts w:hint="eastAsia" w:ascii="楷体" w:hAnsi="楷体" w:eastAsia="楷体"/>
                                <w:b/>
                                <w:color w:val="000000" w:themeColor="text1"/>
                                <w:sz w:val="24"/>
                                <w:lang w:val="en-US" w:eastAsia="zh-CN"/>
                                <w14:textFill>
                                  <w14:solidFill>
                                    <w14:schemeClr w14:val="tx1"/>
                                  </w14:solidFill>
                                </w14:textFill>
                              </w:rPr>
                              <w:t>14</w:t>
                            </w:r>
                            <w:r>
                              <w:rPr>
                                <w:rFonts w:hint="eastAsia" w:ascii="楷体" w:hAnsi="楷体" w:eastAsia="楷体"/>
                                <w:b/>
                                <w:color w:val="000000" w:themeColor="text1"/>
                                <w:sz w:val="24"/>
                                <w14:textFill>
                                  <w14:solidFill>
                                    <w14:schemeClr w14:val="tx1"/>
                                  </w14:solidFill>
                                </w14:textFill>
                              </w:rPr>
                              <w:t>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2pt;margin-top:2.8pt;height:27.3pt;width:159.6pt;z-index:251668480;v-text-anchor:middle;mso-width-relative:page;mso-height-relative:page;" filled="f" stroked="f" coordsize="21600,21600" o:gfxdata="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JKR9YAAAAIAQAADwAAAAAAAAABACAAAAAiAAAAZHJzL2Rvd25yZXYueG1sUEsBAhQAFAAAAAgA&#10;h07iQDBu/PNgAgAArwQAAA4AAAAAAAAAAQAgAAAAJQEAAGRycy9lMm9Eb2MueG1sUEsFBgAAAAAG&#10;AAYAWQEAAPcFAAAAAA==&#10;">
                <v:fill on="f" focussize="0,0"/>
                <v:stroke on="f" weight="1pt" miterlimit="8" joinstyle="miter"/>
                <v:imagedata o:title=""/>
                <o:lock v:ext="edit" aspectratio="f"/>
                <v:textbox>
                  <w:txbxContent>
                    <w:p>
                      <w:pPr>
                        <w:jc w:val="cente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202</w:t>
                      </w:r>
                      <w:r>
                        <w:rPr>
                          <w:rFonts w:hint="eastAsia" w:ascii="楷体" w:hAnsi="楷体" w:eastAsia="楷体"/>
                          <w:b/>
                          <w:color w:val="000000" w:themeColor="text1"/>
                          <w:sz w:val="24"/>
                          <w:lang w:val="en-US" w:eastAsia="zh-CN"/>
                          <w14:textFill>
                            <w14:solidFill>
                              <w14:schemeClr w14:val="tx1"/>
                            </w14:solidFill>
                          </w14:textFill>
                        </w:rPr>
                        <w:t>5</w:t>
                      </w:r>
                      <w:r>
                        <w:rPr>
                          <w:rFonts w:hint="eastAsia" w:ascii="楷体" w:hAnsi="楷体" w:eastAsia="楷体"/>
                          <w:b/>
                          <w:color w:val="000000" w:themeColor="text1"/>
                          <w:sz w:val="24"/>
                          <w14:textFill>
                            <w14:solidFill>
                              <w14:schemeClr w14:val="tx1"/>
                            </w14:solidFill>
                          </w14:textFill>
                        </w:rPr>
                        <w:t>年第</w:t>
                      </w:r>
                      <w:r>
                        <w:rPr>
                          <w:rFonts w:hint="eastAsia" w:ascii="楷体" w:hAnsi="楷体" w:eastAsia="楷体"/>
                          <w:b/>
                          <w:color w:val="000000" w:themeColor="text1"/>
                          <w:sz w:val="24"/>
                          <w:lang w:val="en-US" w:eastAsia="zh-CN"/>
                          <w14:textFill>
                            <w14:solidFill>
                              <w14:schemeClr w14:val="tx1"/>
                            </w14:solidFill>
                          </w14:textFill>
                        </w:rPr>
                        <w:t>4</w:t>
                      </w:r>
                      <w:r>
                        <w:rPr>
                          <w:rFonts w:hint="eastAsia" w:ascii="楷体" w:hAnsi="楷体" w:eastAsia="楷体"/>
                          <w:b/>
                          <w:color w:val="000000" w:themeColor="text1"/>
                          <w:sz w:val="24"/>
                          <w14:textFill>
                            <w14:solidFill>
                              <w14:schemeClr w14:val="tx1"/>
                            </w14:solidFill>
                          </w14:textFill>
                        </w:rPr>
                        <w:t>期（总第</w:t>
                      </w:r>
                      <w:r>
                        <w:rPr>
                          <w:rFonts w:hint="eastAsia" w:ascii="楷体" w:hAnsi="楷体" w:eastAsia="楷体"/>
                          <w:b/>
                          <w:color w:val="000000" w:themeColor="text1"/>
                          <w:sz w:val="24"/>
                          <w:lang w:val="en-US" w:eastAsia="zh-CN"/>
                          <w14:textFill>
                            <w14:solidFill>
                              <w14:schemeClr w14:val="tx1"/>
                            </w14:solidFill>
                          </w14:textFill>
                        </w:rPr>
                        <w:t>14</w:t>
                      </w:r>
                      <w:r>
                        <w:rPr>
                          <w:rFonts w:hint="eastAsia" w:ascii="楷体" w:hAnsi="楷体" w:eastAsia="楷体"/>
                          <w:b/>
                          <w:color w:val="000000" w:themeColor="text1"/>
                          <w:sz w:val="24"/>
                          <w14:textFill>
                            <w14:solidFill>
                              <w14:schemeClr w14:val="tx1"/>
                            </w14:solidFill>
                          </w14:textFill>
                        </w:rPr>
                        <w:t>期）</w:t>
                      </w:r>
                    </w:p>
                  </w:txbxContent>
                </v:textbox>
              </v:rect>
            </w:pict>
          </mc:Fallback>
        </mc:AlternateContent>
      </w:r>
    </w:p>
    <w:p>
      <w:pPr>
        <w:tabs>
          <w:tab w:val="left" w:pos="1200"/>
        </w:tabs>
        <w:spacing w:line="560" w:lineRule="exact"/>
        <w:ind w:right="1050"/>
        <w:textAlignment w:val="center"/>
        <w:rPr>
          <w:rFonts w:ascii="Times New Roman" w:hAnsi="Times New Roman" w:eastAsia="黑体"/>
          <w:sz w:val="30"/>
          <w:szCs w:val="30"/>
          <w:highlight w:val="none"/>
        </w:rPr>
      </w:pPr>
    </w:p>
    <w:p>
      <w:pPr>
        <w:spacing w:line="560" w:lineRule="exact"/>
        <w:ind w:right="1050"/>
        <w:textAlignment w:val="center"/>
        <w:rPr>
          <w:rFonts w:ascii="Times New Roman" w:hAnsi="Times New Roman" w:eastAsia="黑体"/>
          <w:sz w:val="30"/>
          <w:szCs w:val="30"/>
          <w:highlight w:val="none"/>
        </w:rPr>
      </w:pPr>
    </w:p>
    <w:p>
      <w:pPr>
        <w:spacing w:line="560" w:lineRule="exact"/>
        <w:ind w:right="1050"/>
        <w:jc w:val="left"/>
        <w:textAlignment w:val="center"/>
        <w:rPr>
          <w:rFonts w:ascii="Times New Roman" w:hAnsi="Times New Roman" w:eastAsia="方正黑体简体"/>
          <w:sz w:val="30"/>
          <w:szCs w:val="30"/>
          <w:highlight w:val="none"/>
        </w:rPr>
      </w:pPr>
      <w:r>
        <w:rPr>
          <w:rFonts w:hint="eastAsia" w:ascii="Times New Roman" w:hAnsi="Times New Roman" w:eastAsia="方正黑体简体"/>
          <w:sz w:val="30"/>
          <w:szCs w:val="30"/>
          <w:highlight w:val="none"/>
        </w:rPr>
        <w:t>一、</w:t>
      </w:r>
      <w:r>
        <w:rPr>
          <w:rFonts w:hint="eastAsia" w:ascii="Times New Roman" w:hAnsi="Times New Roman" w:eastAsia="方正黑体简体"/>
          <w:sz w:val="30"/>
          <w:szCs w:val="30"/>
          <w:highlight w:val="none"/>
          <w:lang w:eastAsia="zh-CN"/>
        </w:rPr>
        <w:t>深市会计审计监管通讯</w:t>
      </w:r>
      <w:r>
        <w:rPr>
          <w:rFonts w:hint="eastAsia" w:ascii="Times New Roman" w:hAnsi="Times New Roman" w:eastAsia="方正黑体简体"/>
          <w:sz w:val="30"/>
          <w:szCs w:val="30"/>
          <w:highlight w:val="none"/>
        </w:rPr>
        <w:t xml:space="preserve">   </w:t>
      </w:r>
      <w:r>
        <w:rPr>
          <w:rFonts w:ascii="Times New Roman" w:hAnsi="Times New Roman" w:eastAsia="方正黑体简体"/>
          <w:sz w:val="30"/>
          <w:szCs w:val="30"/>
          <w:highlight w:val="none"/>
        </w:rPr>
        <w:t>3</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hint="default" w:ascii="Times New Roman" w:hAnsi="Times New Roman" w:eastAsia="方正黑体简体"/>
          <w:sz w:val="30"/>
          <w:szCs w:val="30"/>
          <w:highlight w:val="none"/>
          <w:lang w:val="en-US" w:eastAsia="zh-CN"/>
        </w:rPr>
      </w:pPr>
      <w:r>
        <w:rPr>
          <w:rFonts w:hint="eastAsia" w:ascii="Times New Roman" w:hAnsi="Times New Roman" w:eastAsia="方正黑体简体"/>
          <w:sz w:val="30"/>
          <w:szCs w:val="30"/>
          <w:highlight w:val="none"/>
        </w:rPr>
        <w:t xml:space="preserve">二、审计执业问题分析   </w:t>
      </w:r>
      <w:r>
        <w:rPr>
          <w:rFonts w:hint="eastAsia" w:ascii="Times New Roman" w:hAnsi="Times New Roman" w:eastAsia="方正黑体简体"/>
          <w:sz w:val="30"/>
          <w:szCs w:val="30"/>
          <w:highlight w:val="none"/>
          <w:lang w:val="en-US" w:eastAsia="zh-CN"/>
        </w:rPr>
        <w:t xml:space="preserve">    7</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hint="default" w:ascii="Times New Roman" w:hAnsi="Times New Roman" w:eastAsia="方正黑体简体"/>
          <w:sz w:val="30"/>
          <w:szCs w:val="30"/>
          <w:highlight w:val="none"/>
          <w:lang w:val="en-US" w:eastAsia="zh-CN"/>
        </w:rPr>
      </w:pPr>
      <w:r>
        <w:rPr>
          <w:rFonts w:hint="eastAsia" w:ascii="Times New Roman" w:hAnsi="Times New Roman" w:eastAsia="方正黑体简体"/>
          <w:sz w:val="30"/>
          <w:szCs w:val="30"/>
          <w:highlight w:val="none"/>
          <w:lang w:eastAsia="zh-CN"/>
        </w:rPr>
        <w:t>三</w:t>
      </w:r>
      <w:r>
        <w:rPr>
          <w:rFonts w:hint="eastAsia" w:ascii="Times New Roman" w:hAnsi="Times New Roman" w:eastAsia="方正黑体简体"/>
          <w:sz w:val="30"/>
          <w:szCs w:val="30"/>
          <w:highlight w:val="none"/>
        </w:rPr>
        <w:t>、典型</w:t>
      </w:r>
      <w:r>
        <w:rPr>
          <w:rFonts w:hint="eastAsia" w:ascii="Times New Roman" w:hAnsi="Times New Roman" w:eastAsia="方正黑体简体"/>
          <w:sz w:val="30"/>
          <w:szCs w:val="30"/>
          <w:highlight w:val="none"/>
          <w:lang w:eastAsia="zh-CN"/>
        </w:rPr>
        <w:t>会计</w:t>
      </w:r>
      <w:r>
        <w:rPr>
          <w:rFonts w:hint="eastAsia" w:ascii="Times New Roman" w:hAnsi="Times New Roman" w:eastAsia="方正黑体简体"/>
          <w:sz w:val="30"/>
          <w:szCs w:val="30"/>
          <w:highlight w:val="none"/>
        </w:rPr>
        <w:t xml:space="preserve">案例研究   </w:t>
      </w:r>
      <w:r>
        <w:rPr>
          <w:rFonts w:hint="eastAsia" w:ascii="Times New Roman" w:hAnsi="Times New Roman" w:eastAsia="方正黑体简体"/>
          <w:sz w:val="30"/>
          <w:szCs w:val="30"/>
          <w:highlight w:val="none"/>
          <w:lang w:val="en-US" w:eastAsia="zh-CN"/>
        </w:rPr>
        <w:t xml:space="preserve">    10</w:t>
      </w:r>
    </w:p>
    <w:p>
      <w:pPr>
        <w:spacing w:line="560" w:lineRule="exact"/>
        <w:ind w:right="1050"/>
        <w:textAlignment w:val="center"/>
        <w:rPr>
          <w:rFonts w:ascii="Times New Roman" w:hAnsi="Times New Roman" w:eastAsia="方正黑体简体"/>
          <w:sz w:val="30"/>
          <w:szCs w:val="30"/>
          <w:highlight w:val="none"/>
        </w:rPr>
      </w:pPr>
    </w:p>
    <w:p>
      <w:pPr>
        <w:tabs>
          <w:tab w:val="left" w:pos="709"/>
        </w:tabs>
        <w:spacing w:line="560" w:lineRule="exact"/>
        <w:ind w:right="1050"/>
        <w:textAlignment w:val="center"/>
        <w:rPr>
          <w:rFonts w:hint="default" w:ascii="Times New Roman" w:hAnsi="Times New Roman" w:eastAsia="方正黑体简体"/>
          <w:sz w:val="30"/>
          <w:szCs w:val="30"/>
          <w:highlight w:val="none"/>
          <w:lang w:val="en-US" w:eastAsia="zh-CN"/>
        </w:rPr>
      </w:pPr>
      <w:r>
        <w:rPr>
          <w:rFonts w:hint="eastAsia" w:ascii="Times New Roman" w:hAnsi="Times New Roman" w:eastAsia="方正黑体简体"/>
          <w:sz w:val="30"/>
          <w:szCs w:val="30"/>
          <w:highlight w:val="none"/>
          <w:lang w:eastAsia="zh-CN"/>
        </w:rPr>
        <w:t>四</w:t>
      </w:r>
      <w:r>
        <w:rPr>
          <w:rFonts w:hint="eastAsia" w:ascii="Times New Roman" w:hAnsi="Times New Roman" w:eastAsia="方正黑体简体"/>
          <w:sz w:val="30"/>
          <w:szCs w:val="30"/>
          <w:highlight w:val="none"/>
        </w:rPr>
        <w:t xml:space="preserve">、会计审计政策资讯   </w:t>
      </w:r>
      <w:r>
        <w:rPr>
          <w:rFonts w:hint="eastAsia" w:ascii="Times New Roman" w:hAnsi="Times New Roman" w:eastAsia="方正黑体简体"/>
          <w:sz w:val="30"/>
          <w:szCs w:val="30"/>
          <w:highlight w:val="none"/>
          <w:lang w:val="en-US" w:eastAsia="zh-CN"/>
        </w:rPr>
        <w:t xml:space="preserve">    24</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jc w:val="left"/>
        <w:textAlignment w:val="center"/>
        <w:rPr>
          <w:rFonts w:ascii="Times New Roman" w:hAnsi="Times New Roman" w:eastAsia="方正黑体简体"/>
          <w:sz w:val="30"/>
          <w:szCs w:val="30"/>
          <w:highlight w:val="none"/>
        </w:rPr>
      </w:pPr>
    </w:p>
    <w:p>
      <w:pPr>
        <w:widowControl/>
        <w:spacing w:line="560" w:lineRule="exact"/>
        <w:textAlignment w:val="center"/>
        <w:rPr>
          <w:rFonts w:ascii="Times New Roman" w:hAnsi="Times New Roman" w:eastAsia="方正小标宋简体" w:cs="Times New Roman"/>
          <w:b/>
          <w:bCs/>
          <w:sz w:val="48"/>
          <w:szCs w:val="48"/>
          <w:highlight w:val="none"/>
        </w:rPr>
        <w:sectPr>
          <w:headerReference r:id="rId5" w:type="first"/>
          <w:footerReference r:id="rId7" w:type="first"/>
          <w:footerReference r:id="rId6" w:type="default"/>
          <w:pgSz w:w="11906" w:h="16157"/>
          <w:pgMar w:top="1440" w:right="1800" w:bottom="1440" w:left="1800" w:header="964" w:footer="1077" w:gutter="0"/>
          <w:pgNumType w:fmt="decimal"/>
          <w:cols w:space="0" w:num="1"/>
          <w:formProt w:val="1"/>
          <w:titlePg/>
          <w:docGrid w:type="lines" w:linePitch="316" w:charSpace="0"/>
        </w:sectPr>
      </w:pPr>
      <w:r>
        <w:rPr>
          <w:rFonts w:ascii="Times New Roman" w:hAnsi="Times New Roman" w:eastAsia="方正黑体简体"/>
          <w:sz w:val="30"/>
          <w:szCs w:val="30"/>
          <w:highlight w:val="none"/>
        </w:rPr>
        <w:drawing>
          <wp:anchor distT="0" distB="0" distL="0" distR="0" simplePos="0" relativeHeight="251670528" behindDoc="0" locked="0" layoutInCell="1" allowOverlap="1">
            <wp:simplePos x="0" y="0"/>
            <wp:positionH relativeFrom="page">
              <wp:posOffset>5309870</wp:posOffset>
            </wp:positionH>
            <wp:positionV relativeFrom="paragraph">
              <wp:posOffset>3475355</wp:posOffset>
            </wp:positionV>
            <wp:extent cx="984885" cy="371475"/>
            <wp:effectExtent l="0" t="0" r="5715" b="9525"/>
            <wp:wrapNone/>
            <wp:docPr id="25"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4.png"/>
                    <pic:cNvPicPr>
                      <a:picLocks noChangeAspect="1"/>
                    </pic:cNvPicPr>
                  </pic:nvPicPr>
                  <pic:blipFill>
                    <a:blip r:embed="rId14" cstate="print"/>
                    <a:stretch>
                      <a:fillRect/>
                    </a:stretch>
                  </pic:blipFill>
                  <pic:spPr>
                    <a:xfrm>
                      <a:off x="0" y="0"/>
                      <a:ext cx="984885" cy="371475"/>
                    </a:xfrm>
                    <a:prstGeom prst="rect">
                      <a:avLst/>
                    </a:prstGeom>
                  </pic:spPr>
                </pic:pic>
              </a:graphicData>
            </a:graphic>
          </wp:anchor>
        </w:drawing>
      </w:r>
      <w:r>
        <w:rPr>
          <w:rFonts w:ascii="Times New Roman" w:hAnsi="Times New Roman" w:eastAsia="方正黑体简体"/>
          <w:sz w:val="30"/>
          <w:szCs w:val="30"/>
          <w:highlight w:val="none"/>
        </w:rPr>
        <w:drawing>
          <wp:anchor distT="0" distB="0" distL="0" distR="0" simplePos="0" relativeHeight="251671552" behindDoc="0" locked="0" layoutInCell="1" allowOverlap="1">
            <wp:simplePos x="0" y="0"/>
            <wp:positionH relativeFrom="page">
              <wp:posOffset>6376670</wp:posOffset>
            </wp:positionH>
            <wp:positionV relativeFrom="paragraph">
              <wp:posOffset>3256280</wp:posOffset>
            </wp:positionV>
            <wp:extent cx="363220" cy="485775"/>
            <wp:effectExtent l="0" t="0" r="2540" b="1905"/>
            <wp:wrapNone/>
            <wp:docPr id="26"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5.png"/>
                    <pic:cNvPicPr>
                      <a:picLocks noChangeAspect="1"/>
                    </pic:cNvPicPr>
                  </pic:nvPicPr>
                  <pic:blipFill>
                    <a:blip r:embed="rId15" cstate="print"/>
                    <a:stretch>
                      <a:fillRect/>
                    </a:stretch>
                  </pic:blipFill>
                  <pic:spPr>
                    <a:xfrm>
                      <a:off x="0" y="0"/>
                      <a:ext cx="363220" cy="485775"/>
                    </a:xfrm>
                    <a:prstGeom prst="rect">
                      <a:avLst/>
                    </a:prstGeom>
                  </pic:spPr>
                </pic:pic>
              </a:graphicData>
            </a:graphic>
          </wp:anchor>
        </w:drawing>
      </w:r>
      <w:r>
        <w:rPr>
          <w:rFonts w:hint="eastAsia" w:ascii="Times New Roman" w:hAnsi="Times New Roman" w:eastAsia="方正小标宋简体" w:cs="Times New Roman"/>
          <w:b/>
          <w:bCs/>
          <w:sz w:val="48"/>
          <w:szCs w:val="48"/>
          <w:highlight w:val="none"/>
        </w:rPr>
        <w:drawing>
          <wp:anchor distT="0" distB="0" distL="114300" distR="114300" simplePos="0" relativeHeight="251669504" behindDoc="1" locked="0" layoutInCell="1" allowOverlap="1">
            <wp:simplePos x="0" y="0"/>
            <wp:positionH relativeFrom="column">
              <wp:posOffset>-2619375</wp:posOffset>
            </wp:positionH>
            <wp:positionV relativeFrom="page">
              <wp:posOffset>5835650</wp:posOffset>
            </wp:positionV>
            <wp:extent cx="4616450" cy="5760085"/>
            <wp:effectExtent l="0" t="0" r="0" b="0"/>
            <wp:wrapNone/>
            <wp:docPr id="27" name="图片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ogo"/>
                    <pic:cNvPicPr>
                      <a:picLocks noChangeAspect="1"/>
                    </pic:cNvPicPr>
                  </pic:nvPicPr>
                  <pic:blipFill>
                    <a:blip r:embed="rId16"/>
                    <a:stretch>
                      <a:fillRect/>
                    </a:stretch>
                  </pic:blipFill>
                  <pic:spPr>
                    <a:xfrm>
                      <a:off x="0" y="0"/>
                      <a:ext cx="4616450" cy="5760085"/>
                    </a:xfrm>
                    <a:prstGeom prst="rect">
                      <a:avLst/>
                    </a:prstGeom>
                  </pic:spPr>
                </pic:pic>
              </a:graphicData>
            </a:graphic>
          </wp:anchor>
        </w:drawing>
      </w:r>
    </w:p>
    <w:p>
      <w:pPr>
        <w:widowControl/>
        <w:spacing w:line="560" w:lineRule="exact"/>
        <w:textAlignment w:val="center"/>
        <w:rPr>
          <w:rFonts w:ascii="Times New Roman" w:hAnsi="Times New Roman" w:eastAsia="方正小标宋简体" w:cs="Times New Roman"/>
          <w:b/>
          <w:bCs/>
          <w:sz w:val="48"/>
          <w:szCs w:val="48"/>
          <w:highlight w:val="none"/>
        </w:rPr>
      </w:pPr>
    </w:p>
    <w:p>
      <w:pPr>
        <w:spacing w:line="560" w:lineRule="exact"/>
        <w:jc w:val="center"/>
        <w:textAlignment w:val="center"/>
        <w:rPr>
          <w:rFonts w:ascii="Times New Roman" w:hAnsi="Times New Roman" w:eastAsia="方正小标宋简体"/>
          <w:b/>
          <w:bCs/>
          <w:sz w:val="48"/>
          <w:szCs w:val="48"/>
          <w:highlight w:val="none"/>
        </w:rPr>
      </w:pPr>
      <w:r>
        <w:rPr>
          <w:rFonts w:hint="eastAsia" w:ascii="Times New Roman" w:hAnsi="Times New Roman" w:eastAsia="方正小标宋简体"/>
          <w:b/>
          <w:bCs/>
          <w:sz w:val="48"/>
          <w:szCs w:val="48"/>
          <w:highlight w:val="none"/>
        </w:rPr>
        <w:t>深圳证券交易所会计监管动态</w:t>
      </w:r>
    </w:p>
    <w:p>
      <w:pPr>
        <w:spacing w:line="560" w:lineRule="exact"/>
        <w:ind w:right="-147" w:rightChars="-70"/>
        <w:jc w:val="center"/>
        <w:textAlignment w:val="center"/>
        <w:rPr>
          <w:rFonts w:ascii="Times New Roman" w:hAnsi="Times New Roman" w:eastAsia="方正仿宋简体"/>
          <w:sz w:val="30"/>
          <w:szCs w:val="30"/>
          <w:highlight w:val="none"/>
        </w:rPr>
      </w:pPr>
    </w:p>
    <w:p>
      <w:pPr>
        <w:spacing w:line="560" w:lineRule="exact"/>
        <w:jc w:val="center"/>
        <w:textAlignment w:val="center"/>
        <w:rPr>
          <w:rFonts w:ascii="Times New Roman" w:hAnsi="Times New Roman" w:eastAsia="楷体_GB2312"/>
          <w:sz w:val="32"/>
          <w:highlight w:val="none"/>
        </w:rPr>
      </w:pPr>
      <w:r>
        <w:rPr>
          <w:rFonts w:ascii="Times New Roman" w:hAnsi="Times New Roman" w:eastAsia="楷体_GB2312"/>
          <w:sz w:val="32"/>
          <w:highlight w:val="none"/>
        </w:rPr>
        <w:t>20</w:t>
      </w:r>
      <w:r>
        <w:rPr>
          <w:rFonts w:hint="eastAsia" w:ascii="Times New Roman" w:hAnsi="Times New Roman" w:eastAsia="楷体_GB2312"/>
          <w:sz w:val="32"/>
          <w:highlight w:val="none"/>
        </w:rPr>
        <w:t>2</w:t>
      </w:r>
      <w:r>
        <w:rPr>
          <w:rFonts w:hint="eastAsia" w:ascii="Times New Roman" w:hAnsi="Times New Roman" w:eastAsia="楷体_GB2312"/>
          <w:sz w:val="32"/>
          <w:highlight w:val="none"/>
          <w:lang w:val="en-US" w:eastAsia="zh-CN"/>
        </w:rPr>
        <w:t>5</w:t>
      </w:r>
      <w:r>
        <w:rPr>
          <w:rFonts w:ascii="Times New Roman" w:hAnsi="Times New Roman" w:eastAsia="楷体_GB2312"/>
          <w:sz w:val="32"/>
          <w:highlight w:val="none"/>
        </w:rPr>
        <w:t>年第</w:t>
      </w:r>
      <w:r>
        <w:rPr>
          <w:rFonts w:hint="eastAsia" w:ascii="Times New Roman" w:hAnsi="Times New Roman" w:eastAsia="楷体_GB2312"/>
          <w:sz w:val="32"/>
          <w:highlight w:val="none"/>
          <w:lang w:val="en-US" w:eastAsia="zh-CN"/>
        </w:rPr>
        <w:t>4</w:t>
      </w:r>
      <w:r>
        <w:rPr>
          <w:rFonts w:ascii="Times New Roman" w:hAnsi="Times New Roman" w:eastAsia="楷体_GB2312"/>
          <w:sz w:val="32"/>
          <w:highlight w:val="none"/>
        </w:rPr>
        <w:t>期（总第</w:t>
      </w:r>
      <w:r>
        <w:rPr>
          <w:rFonts w:hint="eastAsia" w:ascii="Times New Roman" w:hAnsi="Times New Roman" w:eastAsia="楷体_GB2312"/>
          <w:sz w:val="32"/>
          <w:highlight w:val="none"/>
          <w:lang w:val="en-US" w:eastAsia="zh-CN"/>
        </w:rPr>
        <w:t>14</w:t>
      </w:r>
      <w:r>
        <w:rPr>
          <w:rFonts w:ascii="Times New Roman" w:hAnsi="Times New Roman" w:eastAsia="楷体_GB2312"/>
          <w:sz w:val="32"/>
          <w:highlight w:val="none"/>
        </w:rPr>
        <w:t>期）</w:t>
      </w:r>
    </w:p>
    <w:p>
      <w:pPr>
        <w:spacing w:line="560" w:lineRule="exact"/>
        <w:ind w:right="-147" w:rightChars="-70"/>
        <w:textAlignment w:val="center"/>
        <w:rPr>
          <w:rFonts w:ascii="Times New Roman" w:hAnsi="Times New Roman" w:eastAsia="方正仿宋简体"/>
          <w:sz w:val="30"/>
          <w:szCs w:val="30"/>
          <w:highlight w:val="none"/>
        </w:rPr>
      </w:pPr>
    </w:p>
    <w:p>
      <w:pPr>
        <w:spacing w:line="560" w:lineRule="exact"/>
        <w:textAlignment w:val="center"/>
        <w:rPr>
          <w:rFonts w:ascii="Times New Roman" w:hAnsi="Times New Roman" w:eastAsia="楷体_GB2312"/>
          <w:sz w:val="32"/>
          <w:highlight w:val="none"/>
        </w:rPr>
      </w:pPr>
      <w:r>
        <w:rPr>
          <w:rFonts w:ascii="Times New Roman" w:hAnsi="Times New Roman" w:eastAsia="楷体_GB2312"/>
          <w:sz w:val="32"/>
          <w:highlight w:val="none"/>
        </w:rPr>
        <w:t>深圳证券交易所</w:t>
      </w:r>
      <w:r>
        <w:rPr>
          <w:rFonts w:hint="eastAsia" w:ascii="Times New Roman" w:hAnsi="Times New Roman" w:eastAsia="楷体_GB2312"/>
          <w:sz w:val="32"/>
          <w:highlight w:val="none"/>
        </w:rPr>
        <w:t>会计监管部</w:t>
      </w:r>
      <w:r>
        <w:rPr>
          <w:rFonts w:hint="eastAsia" w:ascii="Times New Roman" w:hAnsi="Times New Roman" w:eastAsia="楷体_GB2312"/>
          <w:sz w:val="32"/>
          <w:highlight w:val="none"/>
          <w:lang w:val="en-US" w:eastAsia="zh-CN"/>
        </w:rPr>
        <w:t xml:space="preserve">            </w:t>
      </w:r>
      <w:r>
        <w:rPr>
          <w:rFonts w:ascii="Times New Roman" w:hAnsi="Times New Roman" w:eastAsia="楷体_GB2312"/>
          <w:sz w:val="32"/>
          <w:highlight w:val="none"/>
        </w:rPr>
        <w:t>20</w:t>
      </w:r>
      <w:r>
        <w:rPr>
          <w:rFonts w:hint="eastAsia" w:ascii="Times New Roman" w:hAnsi="Times New Roman" w:eastAsia="楷体_GB2312"/>
          <w:sz w:val="32"/>
          <w:highlight w:val="none"/>
        </w:rPr>
        <w:t>2</w:t>
      </w:r>
      <w:r>
        <w:rPr>
          <w:rFonts w:hint="eastAsia" w:ascii="Times New Roman" w:hAnsi="Times New Roman" w:eastAsia="楷体_GB2312"/>
          <w:sz w:val="32"/>
          <w:highlight w:val="none"/>
          <w:lang w:val="en-US" w:eastAsia="zh-CN"/>
        </w:rPr>
        <w:t>6</w:t>
      </w:r>
      <w:r>
        <w:rPr>
          <w:rFonts w:ascii="Times New Roman" w:hAnsi="Times New Roman" w:eastAsia="楷体_GB2312"/>
          <w:sz w:val="32"/>
          <w:highlight w:val="none"/>
        </w:rPr>
        <w:t>年</w:t>
      </w:r>
      <w:r>
        <w:rPr>
          <w:rFonts w:hint="default" w:ascii="Times New Roman" w:hAnsi="Times New Roman" w:eastAsia="楷体_GB2312"/>
          <w:sz w:val="32"/>
          <w:highlight w:val="none"/>
          <w:lang w:val="en-US" w:eastAsia="zh-CN"/>
        </w:rPr>
        <w:t>1</w:t>
      </w:r>
      <w:r>
        <w:rPr>
          <w:rFonts w:ascii="Times New Roman" w:hAnsi="Times New Roman" w:eastAsia="楷体_GB2312"/>
          <w:sz w:val="32"/>
          <w:highlight w:val="none"/>
        </w:rPr>
        <w:t>月</w:t>
      </w:r>
      <w:r>
        <w:rPr>
          <w:rFonts w:hint="eastAsia" w:ascii="Times New Roman" w:hAnsi="Times New Roman" w:eastAsia="楷体_GB2312"/>
          <w:sz w:val="32"/>
          <w:highlight w:val="none"/>
          <w:lang w:val="en-US" w:eastAsia="zh-CN"/>
        </w:rPr>
        <w:t>28</w:t>
      </w:r>
      <w:r>
        <w:rPr>
          <w:rFonts w:ascii="Times New Roman" w:hAnsi="Times New Roman" w:eastAsia="楷体_GB2312"/>
          <w:sz w:val="32"/>
          <w:highlight w:val="none"/>
        </w:rPr>
        <w:t>日</w:t>
      </w:r>
    </w:p>
    <w:p>
      <w:pPr>
        <w:spacing w:line="560" w:lineRule="exact"/>
        <w:textAlignment w:val="center"/>
        <w:rPr>
          <w:rFonts w:ascii="Times New Roman" w:hAnsi="Times New Roman" w:eastAsia="黑体"/>
          <w:b/>
          <w:sz w:val="30"/>
          <w:szCs w:val="22"/>
          <w:highlight w:val="none"/>
        </w:rPr>
      </w:pPr>
      <w:r>
        <w:rPr>
          <w:rFonts w:ascii="Times New Roman" w:hAnsi="Times New Roman"/>
          <w:sz w:val="20"/>
          <w:highlight w:val="none"/>
        </w:rPr>
        <mc:AlternateContent>
          <mc:Choice Requires="wps">
            <w:drawing>
              <wp:anchor distT="0" distB="0" distL="114300" distR="114300" simplePos="0" relativeHeight="251673600" behindDoc="0" locked="0" layoutInCell="1" allowOverlap="1">
                <wp:simplePos x="0" y="0"/>
                <wp:positionH relativeFrom="column">
                  <wp:posOffset>1905</wp:posOffset>
                </wp:positionH>
                <wp:positionV relativeFrom="paragraph">
                  <wp:posOffset>33020</wp:posOffset>
                </wp:positionV>
                <wp:extent cx="5463540" cy="0"/>
                <wp:effectExtent l="42545" t="13970" r="56515" b="92710"/>
                <wp:wrapNone/>
                <wp:docPr id="28" name="直接连接符 28"/>
                <wp:cNvGraphicFramePr/>
                <a:graphic xmlns:a="http://schemas.openxmlformats.org/drawingml/2006/main">
                  <a:graphicData uri="http://schemas.microsoft.com/office/word/2010/wordprocessingShape">
                    <wps:wsp>
                      <wps:cNvCnPr>
                        <a:cxnSpLocks noChangeShapeType="1"/>
                      </wps:cNvCnPr>
                      <wps:spPr bwMode="auto">
                        <a:xfrm>
                          <a:off x="0" y="0"/>
                          <a:ext cx="5463540" cy="0"/>
                        </a:xfrm>
                        <a:prstGeom prst="line">
                          <a:avLst/>
                        </a:prstGeom>
                        <a:noFill/>
                        <a:ln w="19050" cmpd="sng">
                          <a:solidFill>
                            <a:schemeClr val="accent1"/>
                          </a:solidFill>
                          <a:round/>
                        </a:ln>
                        <a:effectLst>
                          <a:outerShdw blurRad="50800" dist="38100" dir="5400000" algn="t" rotWithShape="0">
                            <a:prstClr val="black">
                              <a:alpha val="40000"/>
                            </a:prstClr>
                          </a:outerShdw>
                        </a:effectLst>
                      </wps:spPr>
                      <wps:bodyPr/>
                    </wps:wsp>
                  </a:graphicData>
                </a:graphic>
              </wp:anchor>
            </w:drawing>
          </mc:Choice>
          <mc:Fallback>
            <w:pict>
              <v:line id="_x0000_s1026" o:spid="_x0000_s1026" o:spt="20" style="position:absolute;left:0pt;margin-left:0.15pt;margin-top:2.6pt;height:0pt;width:430.2pt;z-index:251673600;mso-width-relative:page;mso-height-relative:page;" filled="f" stroked="t" coordsize="21600,21600" o:gfxdata="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59Pi9MAAAAEAQAADwAAAAAAAAABACAAAAAiAAAA&#10;ZHJzL2Rvd25yZXYueG1sUEsBAhQAFAAAAAgAh07iQMoj8odFAgAAbAQAAA4AAAAAAAAAAQAgAAAA&#10;IgEAAGRycy9lMm9Eb2MueG1sUEsFBgAAAAAGAAYAWQEAANkFAAAAAA==&#10;">
                <v:fill on="f" focussize="0,0"/>
                <v:stroke weight="1.5pt" color="#5B9BD5 [3204]" joinstyle="round"/>
                <v:imagedata o:title=""/>
                <o:lock v:ext="edit" aspectratio="f"/>
                <v:shadow on="t" color="#000000" opacity="26214f" offset="0pt,3pt" origin="0f,-32768f" matrix="65536f,0f,0f,65536f"/>
              </v:line>
            </w:pict>
          </mc:Fallback>
        </mc:AlternateConten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lang w:eastAsia="zh-CN"/>
        </w:rPr>
      </w:pPr>
      <w:r>
        <w:rPr>
          <w:rFonts w:hint="eastAsia" w:ascii="黑体" w:hAnsi="黑体" w:eastAsia="黑体" w:cs="Times New Roman"/>
          <w:color w:val="000000"/>
          <w:sz w:val="32"/>
          <w:szCs w:val="32"/>
          <w:highlight w:val="none"/>
        </w:rPr>
        <w:t>编者按：</w:t>
      </w:r>
      <w:r>
        <w:rPr>
          <w:rFonts w:hint="eastAsia" w:ascii="仿宋" w:hAnsi="仿宋" w:eastAsia="仿宋" w:cs="仿宋"/>
          <w:color w:val="000000"/>
          <w:sz w:val="32"/>
          <w:szCs w:val="32"/>
          <w:highlight w:val="none"/>
          <w:lang w:val="en-US" w:eastAsia="zh-CN"/>
        </w:rPr>
        <w:t>2026</w:t>
      </w:r>
      <w:r>
        <w:rPr>
          <w:rFonts w:hint="eastAsia" w:ascii="仿宋" w:hAnsi="仿宋" w:eastAsia="仿宋" w:cs="仿宋"/>
          <w:color w:val="000000"/>
          <w:sz w:val="32"/>
          <w:szCs w:val="32"/>
          <w:highlight w:val="none"/>
          <w:lang w:eastAsia="zh-CN"/>
        </w:rPr>
        <w:t>年1月初，中国证监会召开资本市场财务造假综合惩防体系跨部门工作推进座谈会，通报财务造假综合惩防工作进展。</w:t>
      </w:r>
      <w:r>
        <w:rPr>
          <w:rFonts w:hint="eastAsia" w:ascii="仿宋" w:hAnsi="仿宋" w:eastAsia="仿宋" w:cs="仿宋"/>
          <w:color w:val="000000"/>
          <w:sz w:val="32"/>
          <w:szCs w:val="32"/>
          <w:highlight w:val="none"/>
          <w:lang w:val="en-US" w:eastAsia="zh-CN"/>
        </w:rPr>
        <w:t>2024年以来，证监会累计查办财务造假案件159起，向公安机关移送涉嫌财务造假犯罪线索112件，对涉及财务造假和配合造假的人员严肃追究责任，同时强化对中介机构的责任追究</w:t>
      </w:r>
      <w:r>
        <w:rPr>
          <w:rFonts w:hint="eastAsia" w:ascii="仿宋" w:hAnsi="仿宋" w:eastAsia="仿宋" w:cs="仿宋"/>
          <w:color w:val="000000"/>
          <w:sz w:val="32"/>
          <w:szCs w:val="32"/>
          <w:highlight w:val="none"/>
          <w:lang w:eastAsia="zh-CN"/>
        </w:rPr>
        <w:t>。会计师事务所作为资本市场“看门人”，为上市公司等市场主体提供鉴证服务，发挥执业监督作用，是防治财务造假、维护市场秩序的重要力量。</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lang w:eastAsia="zh-CN"/>
        </w:rPr>
        <w:t>目前，上市公司</w:t>
      </w:r>
      <w:r>
        <w:rPr>
          <w:rFonts w:hint="eastAsia" w:ascii="仿宋" w:hAnsi="仿宋" w:eastAsia="仿宋" w:cs="仿宋"/>
          <w:color w:val="000000"/>
          <w:sz w:val="32"/>
          <w:szCs w:val="32"/>
          <w:highlight w:val="none"/>
          <w:lang w:val="en-US" w:eastAsia="zh-CN"/>
        </w:rPr>
        <w:t>2025年</w:t>
      </w:r>
      <w:r>
        <w:rPr>
          <w:rFonts w:hint="eastAsia" w:ascii="仿宋" w:hAnsi="仿宋" w:eastAsia="仿宋" w:cs="仿宋"/>
          <w:color w:val="000000"/>
          <w:sz w:val="32"/>
          <w:szCs w:val="32"/>
          <w:highlight w:val="none"/>
        </w:rPr>
        <w:t>年度报告编制及审计工作正在全方位展开</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为帮助</w:t>
      </w:r>
      <w:r>
        <w:rPr>
          <w:rFonts w:hint="eastAsia" w:ascii="仿宋" w:hAnsi="仿宋" w:eastAsia="仿宋" w:cs="仿宋"/>
          <w:color w:val="000000"/>
          <w:sz w:val="32"/>
          <w:szCs w:val="32"/>
          <w:highlight w:val="none"/>
          <w:lang w:eastAsia="zh-CN"/>
        </w:rPr>
        <w:t>会计师事务所</w:t>
      </w:r>
      <w:r>
        <w:rPr>
          <w:rFonts w:hint="eastAsia" w:ascii="仿宋" w:hAnsi="仿宋" w:eastAsia="仿宋" w:cs="仿宋"/>
          <w:color w:val="000000"/>
          <w:sz w:val="32"/>
          <w:szCs w:val="32"/>
          <w:highlight w:val="none"/>
        </w:rPr>
        <w:t>了解和把握新形势下的监管要求，</w:t>
      </w:r>
      <w:r>
        <w:rPr>
          <w:rFonts w:hint="eastAsia" w:ascii="仿宋" w:hAnsi="仿宋" w:eastAsia="仿宋" w:cs="仿宋"/>
          <w:color w:val="000000"/>
          <w:sz w:val="32"/>
          <w:szCs w:val="32"/>
          <w:highlight w:val="none"/>
          <w:lang w:eastAsia="zh-CN"/>
        </w:rPr>
        <w:t>增强风险防范意识，</w:t>
      </w:r>
      <w:r>
        <w:rPr>
          <w:rFonts w:hint="eastAsia" w:ascii="仿宋" w:hAnsi="仿宋" w:eastAsia="仿宋" w:cs="仿宋"/>
          <w:color w:val="000000"/>
          <w:sz w:val="32"/>
          <w:szCs w:val="32"/>
          <w:highlight w:val="none"/>
        </w:rPr>
        <w:t>本期《深圳证券交易所会计监管动态》</w:t>
      </w:r>
      <w:r>
        <w:rPr>
          <w:rFonts w:hint="eastAsia" w:ascii="仿宋" w:hAnsi="仿宋" w:eastAsia="仿宋" w:cs="仿宋"/>
          <w:color w:val="000000"/>
          <w:sz w:val="32"/>
          <w:szCs w:val="32"/>
          <w:highlight w:val="none"/>
          <w:lang w:eastAsia="zh-CN"/>
        </w:rPr>
        <w:t>对</w:t>
      </w:r>
      <w:r>
        <w:rPr>
          <w:rFonts w:hint="eastAsia" w:ascii="仿宋" w:hAnsi="仿宋" w:eastAsia="仿宋" w:cs="仿宋"/>
          <w:color w:val="000000"/>
          <w:sz w:val="32"/>
          <w:szCs w:val="32"/>
          <w:highlight w:val="none"/>
          <w:lang w:val="en-US" w:eastAsia="zh-CN"/>
        </w:rPr>
        <w:t>2025年度年报审计业务进行重点提示，同时</w:t>
      </w:r>
      <w:r>
        <w:rPr>
          <w:rFonts w:hint="eastAsia" w:ascii="仿宋" w:hAnsi="仿宋" w:eastAsia="仿宋" w:cs="仿宋"/>
          <w:color w:val="000000"/>
          <w:sz w:val="32"/>
          <w:szCs w:val="32"/>
          <w:highlight w:val="none"/>
        </w:rPr>
        <w:t>介绍了</w:t>
      </w:r>
      <w:r>
        <w:rPr>
          <w:rFonts w:hint="eastAsia" w:ascii="仿宋" w:hAnsi="仿宋" w:eastAsia="仿宋" w:cs="仿宋"/>
          <w:color w:val="000000"/>
          <w:sz w:val="32"/>
          <w:szCs w:val="32"/>
          <w:highlight w:val="none"/>
          <w:lang w:eastAsia="zh-CN"/>
        </w:rPr>
        <w:t>年报</w:t>
      </w:r>
      <w:r>
        <w:rPr>
          <w:rFonts w:hint="eastAsia" w:ascii="仿宋" w:hAnsi="仿宋" w:eastAsia="仿宋" w:cs="仿宋"/>
          <w:color w:val="000000"/>
          <w:sz w:val="32"/>
          <w:szCs w:val="32"/>
          <w:highlight w:val="none"/>
          <w:lang w:val="en-US" w:eastAsia="zh-CN"/>
        </w:rPr>
        <w:t>审计执业问题、难点分析和典型</w:t>
      </w:r>
      <w:r>
        <w:rPr>
          <w:rFonts w:hint="eastAsia" w:ascii="仿宋" w:hAnsi="仿宋" w:eastAsia="仿宋" w:cs="仿宋"/>
          <w:color w:val="000000"/>
          <w:sz w:val="32"/>
          <w:szCs w:val="32"/>
          <w:highlight w:val="none"/>
        </w:rPr>
        <w:t>会计</w:t>
      </w:r>
      <w:r>
        <w:rPr>
          <w:rFonts w:hint="eastAsia" w:ascii="仿宋" w:hAnsi="仿宋" w:eastAsia="仿宋" w:cs="仿宋"/>
          <w:color w:val="000000"/>
          <w:sz w:val="32"/>
          <w:szCs w:val="32"/>
          <w:highlight w:val="none"/>
          <w:lang w:eastAsia="zh-CN"/>
        </w:rPr>
        <w:t>案例分析</w:t>
      </w:r>
      <w:r>
        <w:rPr>
          <w:rFonts w:hint="eastAsia" w:ascii="仿宋" w:hAnsi="仿宋" w:eastAsia="仿宋" w:cs="仿宋"/>
          <w:color w:val="000000"/>
          <w:sz w:val="32"/>
          <w:szCs w:val="32"/>
          <w:highlight w:val="none"/>
        </w:rPr>
        <w:t>。</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lang w:eastAsia="zh-CN"/>
        </w:rPr>
        <w:t>审计执业难点</w:t>
      </w:r>
      <w:r>
        <w:rPr>
          <w:rFonts w:hint="eastAsia" w:ascii="仿宋" w:hAnsi="仿宋" w:eastAsia="仿宋" w:cs="仿宋"/>
          <w:color w:val="000000"/>
          <w:sz w:val="32"/>
          <w:szCs w:val="32"/>
          <w:highlight w:val="none"/>
        </w:rPr>
        <w:t>方面，</w:t>
      </w:r>
      <w:r>
        <w:rPr>
          <w:rFonts w:hint="eastAsia" w:ascii="仿宋" w:hAnsi="仿宋" w:eastAsia="仿宋" w:cs="仿宋"/>
          <w:color w:val="000000"/>
          <w:sz w:val="32"/>
          <w:szCs w:val="32"/>
          <w:highlight w:val="none"/>
          <w:lang w:val="en-US" w:eastAsia="zh-CN"/>
        </w:rPr>
        <w:t>结合审计执业案例</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重点介绍</w:t>
      </w:r>
      <w:r>
        <w:rPr>
          <w:rFonts w:hint="eastAsia" w:ascii="仿宋" w:hAnsi="仿宋" w:eastAsia="仿宋" w:cs="仿宋"/>
          <w:kern w:val="2"/>
          <w:sz w:val="32"/>
          <w:szCs w:val="32"/>
          <w:lang w:val="en-US" w:eastAsia="zh-CN" w:bidi="ar"/>
        </w:rPr>
        <w:t>执行函证程序时</w:t>
      </w:r>
      <w:r>
        <w:rPr>
          <w:rFonts w:hint="eastAsia" w:ascii="仿宋" w:hAnsi="仿宋" w:eastAsia="仿宋" w:cs="仿宋"/>
          <w:color w:val="000000"/>
          <w:sz w:val="32"/>
          <w:szCs w:val="32"/>
          <w:highlight w:val="none"/>
          <w:lang w:val="en-US" w:eastAsia="zh-CN"/>
        </w:rPr>
        <w:t>，对于无法函证、函证数据错误但回函相符、客户转交函证等情形应当如何进行审计应对</w:t>
      </w:r>
      <w:r>
        <w:rPr>
          <w:rFonts w:hint="eastAsia" w:ascii="仿宋" w:hAnsi="仿宋" w:eastAsia="仿宋" w:cs="仿宋"/>
          <w:color w:val="000000"/>
          <w:sz w:val="32"/>
          <w:szCs w:val="32"/>
          <w:highlight w:val="none"/>
        </w:rPr>
        <w:t>。</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会计案例方面，本期</w:t>
      </w:r>
      <w:r>
        <w:rPr>
          <w:rFonts w:hint="eastAsia" w:ascii="仿宋" w:hAnsi="仿宋" w:eastAsia="仿宋" w:cs="仿宋"/>
          <w:color w:val="000000"/>
          <w:sz w:val="32"/>
          <w:szCs w:val="32"/>
          <w:highlight w:val="none"/>
          <w:lang w:val="en-US" w:eastAsia="zh-CN"/>
        </w:rPr>
        <w:t>通过两组案例，分析破产重整、破产清算等特殊事项对合并范围的影响，以及业务调整对商誉资产组的影响。</w:t>
      </w:r>
      <w:r>
        <w:rPr>
          <w:rFonts w:hint="eastAsia" w:ascii="仿宋" w:hAnsi="仿宋" w:eastAsia="仿宋" w:cs="仿宋"/>
          <w:sz w:val="32"/>
          <w:szCs w:val="32"/>
          <w:highlight w:val="none"/>
          <w:lang w:val="en-US" w:eastAsia="zh-CN"/>
        </w:rPr>
        <w:t>相关问题系编制年度财务报告时涉及复杂会计判断的问题，审计人员需要通盘考虑相关因素，审慎作出职业判断</w:t>
      </w:r>
      <w:r>
        <w:rPr>
          <w:rFonts w:hint="eastAsia" w:ascii="仿宋" w:hAnsi="仿宋" w:eastAsia="仿宋" w:cs="仿宋"/>
          <w:color w:val="000000"/>
          <w:sz w:val="32"/>
          <w:szCs w:val="32"/>
          <w:highlight w:val="none"/>
        </w:rPr>
        <w:t>。</w: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会计资讯方面，本期收录了</w:t>
      </w:r>
      <w:r>
        <w:rPr>
          <w:rFonts w:hint="eastAsia" w:ascii="仿宋" w:hAnsi="仿宋" w:eastAsia="仿宋" w:cs="仿宋"/>
          <w:color w:val="000000"/>
          <w:sz w:val="32"/>
          <w:szCs w:val="32"/>
          <w:highlight w:val="none"/>
          <w:lang w:eastAsia="zh-CN"/>
        </w:rPr>
        <w:t>财政部、中国证监会等发布</w:t>
      </w:r>
      <w:r>
        <w:rPr>
          <w:rFonts w:hint="eastAsia" w:ascii="仿宋" w:hAnsi="仿宋" w:eastAsia="仿宋" w:cs="仿宋"/>
          <w:sz w:val="32"/>
          <w:szCs w:val="32"/>
          <w:highlight w:val="none"/>
          <w:lang w:eastAsia="zh-CN"/>
        </w:rPr>
        <w:t>《关于严格执行企业会计准则</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eastAsia="zh-CN"/>
        </w:rPr>
        <w:t>切实做好企业2025年年报工作的通知》</w:t>
      </w:r>
      <w:r>
        <w:rPr>
          <w:rFonts w:hint="eastAsia" w:ascii="仿宋" w:hAnsi="仿宋" w:eastAsia="仿宋" w:cs="仿宋"/>
          <w:sz w:val="32"/>
          <w:szCs w:val="32"/>
          <w:highlight w:val="none"/>
          <w:lang w:val="en-US" w:eastAsia="zh-CN"/>
        </w:rPr>
        <w:t>《行政事业单位、国有企业、上市公司选聘资产评估机构管理办法》</w:t>
      </w:r>
      <w:r>
        <w:rPr>
          <w:rFonts w:hint="eastAsia" w:ascii="仿宋" w:hAnsi="仿宋" w:eastAsia="仿宋" w:cs="仿宋"/>
          <w:color w:val="000000"/>
          <w:sz w:val="32"/>
          <w:szCs w:val="32"/>
          <w:highlight w:val="none"/>
        </w:rPr>
        <w:t>等通知简讯。</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《深圳证券交易所会计监管动态》不构成对现行《企业会计准则》的解释，仅供会计师事务所内部交流使用，请勿外传。如有任何意见或建议，欢迎扫描封底二维码反馈给</w:t>
      </w:r>
      <w:r>
        <w:rPr>
          <w:rFonts w:hint="eastAsia" w:ascii="仿宋" w:hAnsi="仿宋" w:eastAsia="仿宋" w:cs="仿宋"/>
          <w:color w:val="000000"/>
          <w:sz w:val="32"/>
          <w:szCs w:val="32"/>
          <w:highlight w:val="none"/>
          <w:lang w:eastAsia="zh-CN"/>
        </w:rPr>
        <w:t>本</w:t>
      </w:r>
      <w:r>
        <w:rPr>
          <w:rFonts w:hint="eastAsia" w:ascii="仿宋" w:hAnsi="仿宋" w:eastAsia="仿宋" w:cs="仿宋"/>
          <w:color w:val="000000"/>
          <w:sz w:val="32"/>
          <w:szCs w:val="32"/>
          <w:highlight w:val="none"/>
        </w:rPr>
        <w:t>所会计监管部。</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p>
    <w:p>
      <w:pPr>
        <w:topLinePunct w:val="0"/>
        <w:adjustRightInd/>
        <w:snapToGrid/>
        <w:spacing w:line="240" w:lineRule="auto"/>
        <w:ind w:firstLine="0" w:firstLineChars="0"/>
        <w:outlineLvl w:val="9"/>
        <w:rPr>
          <w:rFonts w:hint="eastAsia"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br w:type="page"/>
      </w:r>
    </w:p>
    <w:p>
      <w:pPr>
        <w:keepNext w:val="0"/>
        <w:keepLines w:val="0"/>
        <w:pageBreakBefore w:val="0"/>
        <w:kinsoku/>
        <w:wordWrap/>
        <w:overflowPunct/>
        <w:topLinePunct/>
        <w:autoSpaceDN/>
        <w:bidi w:val="0"/>
        <w:adjustRightInd w:val="0"/>
        <w:snapToGrid w:val="0"/>
        <w:spacing w:line="560" w:lineRule="exact"/>
        <w:ind w:left="0" w:leftChars="0" w:right="0" w:firstLine="640" w:firstLineChars="200"/>
        <w:outlineLvl w:val="0"/>
        <w:rPr>
          <w:rFonts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t>一、深市会计审计监管通讯</w:t>
      </w:r>
    </w:p>
    <w:p>
      <w:pPr>
        <w:keepNext w:val="0"/>
        <w:keepLines w:val="0"/>
        <w:pageBreakBefore w:val="0"/>
        <w:kinsoku/>
        <w:wordWrap/>
        <w:overflowPunct/>
        <w:topLinePunct/>
        <w:bidi w:val="0"/>
        <w:adjustRightInd w:val="0"/>
        <w:snapToGrid w:val="0"/>
        <w:spacing w:line="560" w:lineRule="exact"/>
        <w:ind w:left="0" w:right="0" w:rightChars="0" w:firstLine="640" w:firstLineChars="200"/>
        <w:outlineLvl w:val="1"/>
        <w:rPr>
          <w:rFonts w:hint="eastAsia" w:ascii="楷体" w:hAnsi="楷体" w:eastAsia="楷体" w:cs="Times New Roman"/>
          <w:color w:val="000000"/>
          <w:sz w:val="32"/>
          <w:szCs w:val="32"/>
          <w:highlight w:val="none"/>
          <w:lang w:val="en-US" w:eastAsia="zh-CN"/>
        </w:rPr>
      </w:pPr>
      <w:r>
        <w:rPr>
          <w:rFonts w:hint="eastAsia" w:ascii="楷体" w:hAnsi="楷体" w:eastAsia="楷体" w:cs="Times New Roman"/>
          <w:color w:val="000000"/>
          <w:sz w:val="32"/>
          <w:szCs w:val="32"/>
          <w:highlight w:val="none"/>
          <w:lang w:val="en-US" w:eastAsia="zh-CN"/>
        </w:rPr>
        <w:t>（一）会计师事务所开展2025年度深市上市公司年审工作的提示</w:t>
      </w:r>
    </w:p>
    <w:p>
      <w:pPr>
        <w:pStyle w:val="14"/>
        <w:keepNext w:val="0"/>
        <w:keepLines w:val="0"/>
        <w:pageBreakBefore w:val="0"/>
        <w:kinsoku/>
        <w:wordWrap/>
        <w:overflowPunct/>
        <w:topLinePunct w:val="0"/>
        <w:bidi w:val="0"/>
        <w:adjustRightInd/>
        <w:snapToGrid/>
        <w:spacing w:before="0" w:beforeAutospacing="0" w:after="0" w:afterAutospacing="0" w:line="560" w:lineRule="exact"/>
        <w:ind w:firstLine="640" w:firstLineChars="200"/>
        <w:jc w:val="both"/>
        <w:textAlignment w:val="auto"/>
        <w:rPr>
          <w:rFonts w:hint="eastAsia" w:ascii="仿宋" w:hAnsi="仿宋" w:eastAsia="仿宋" w:cs="Times New Roman"/>
          <w:color w:val="000000"/>
          <w:sz w:val="32"/>
          <w:szCs w:val="32"/>
          <w:lang w:val="en-US" w:eastAsia="zh-CN"/>
        </w:rPr>
      </w:pPr>
      <w:r>
        <w:rPr>
          <w:rFonts w:hint="eastAsia" w:ascii="仿宋" w:hAnsi="仿宋" w:eastAsia="仿宋" w:cs="Times New Roman"/>
          <w:color w:val="000000"/>
          <w:sz w:val="32"/>
          <w:szCs w:val="32"/>
          <w:lang w:val="en-US" w:eastAsia="zh-CN"/>
        </w:rPr>
        <w:t>会计师事务所在执行深市上市公司2025年度报告审计过程中，应当强化会计师事务所内部管理和审计执业质量管理，切实做好以下工作：</w:t>
      </w:r>
    </w:p>
    <w:p>
      <w:pPr>
        <w:pStyle w:val="14"/>
        <w:keepNext w:val="0"/>
        <w:keepLines w:val="0"/>
        <w:pageBreakBefore w:val="0"/>
        <w:kinsoku/>
        <w:wordWrap/>
        <w:overflowPunct/>
        <w:topLinePunct w:val="0"/>
        <w:bidi w:val="0"/>
        <w:adjustRightInd/>
        <w:snapToGrid/>
        <w:spacing w:before="0" w:beforeAutospacing="0" w:after="0" w:afterAutospacing="0" w:line="560" w:lineRule="exact"/>
        <w:ind w:firstLine="640" w:firstLineChars="200"/>
        <w:jc w:val="both"/>
        <w:textAlignment w:val="auto"/>
        <w:rPr>
          <w:rFonts w:hint="eastAsia" w:ascii="仿宋" w:hAnsi="仿宋" w:eastAsia="仿宋" w:cs="Times New Roman"/>
          <w:color w:val="000000"/>
          <w:sz w:val="32"/>
          <w:szCs w:val="32"/>
          <w:lang w:val="en-US" w:eastAsia="zh-CN"/>
        </w:rPr>
      </w:pPr>
      <w:r>
        <w:rPr>
          <w:rFonts w:hint="eastAsia" w:ascii="仿宋" w:hAnsi="仿宋" w:eastAsia="仿宋" w:cs="Times New Roman"/>
          <w:color w:val="000000"/>
          <w:sz w:val="32"/>
          <w:szCs w:val="32"/>
          <w:lang w:val="en-US" w:eastAsia="zh-CN"/>
        </w:rPr>
        <w:t>一是严格落实独立性要求，严守职业道德底线，坚决拒绝代编财务报表，杜绝或有收费、账外收费，</w:t>
      </w:r>
      <w:r>
        <w:rPr>
          <w:rFonts w:hint="eastAsia" w:ascii="仿宋" w:hAnsi="仿宋" w:eastAsia="仿宋" w:cs="仿宋"/>
          <w:kern w:val="2"/>
          <w:sz w:val="32"/>
          <w:szCs w:val="32"/>
          <w:highlight w:val="none"/>
          <w:lang w:val="en-US" w:eastAsia="zh-CN" w:bidi="ar"/>
        </w:rPr>
        <w:t>采取有效措施防范审计执业人员及其近亲属违法违规买卖客户股票等问题。</w:t>
      </w:r>
    </w:p>
    <w:p>
      <w:pPr>
        <w:pStyle w:val="14"/>
        <w:keepNext w:val="0"/>
        <w:keepLines w:val="0"/>
        <w:pageBreakBefore w:val="0"/>
        <w:kinsoku/>
        <w:wordWrap/>
        <w:overflowPunct/>
        <w:topLinePunct w:val="0"/>
        <w:bidi w:val="0"/>
        <w:adjustRightInd/>
        <w:snapToGrid/>
        <w:spacing w:before="0" w:beforeAutospacing="0" w:after="0" w:afterAutospacing="0" w:line="560" w:lineRule="exact"/>
        <w:ind w:firstLine="640" w:firstLineChars="200"/>
        <w:jc w:val="both"/>
        <w:textAlignment w:val="auto"/>
        <w:rPr>
          <w:rFonts w:hint="eastAsia" w:ascii="仿宋" w:hAnsi="仿宋" w:eastAsia="仿宋" w:cs="Times New Roman"/>
          <w:color w:val="000000"/>
          <w:sz w:val="32"/>
          <w:szCs w:val="32"/>
          <w:lang w:val="en-US" w:eastAsia="zh-CN"/>
        </w:rPr>
      </w:pPr>
      <w:r>
        <w:rPr>
          <w:rFonts w:hint="eastAsia" w:ascii="仿宋" w:hAnsi="仿宋" w:eastAsia="仿宋" w:cs="Times New Roman"/>
          <w:color w:val="000000"/>
          <w:sz w:val="32"/>
          <w:szCs w:val="32"/>
          <w:lang w:val="en-US" w:eastAsia="zh-CN"/>
        </w:rPr>
        <w:t>二是审慎做好业务承接和保持，</w:t>
      </w:r>
      <w:r>
        <w:rPr>
          <w:rFonts w:hint="default" w:ascii="仿宋" w:hAnsi="仿宋" w:eastAsia="仿宋" w:cs="Times New Roman"/>
          <w:color w:val="000000"/>
          <w:sz w:val="32"/>
          <w:szCs w:val="32"/>
          <w:lang w:val="en-US" w:eastAsia="zh-CN"/>
        </w:rPr>
        <w:t>落实职业怀疑</w:t>
      </w:r>
      <w:r>
        <w:rPr>
          <w:rFonts w:hint="eastAsia" w:ascii="仿宋" w:hAnsi="仿宋" w:eastAsia="仿宋" w:cs="Times New Roman"/>
          <w:color w:val="000000"/>
          <w:sz w:val="32"/>
          <w:szCs w:val="32"/>
          <w:lang w:val="en-US" w:eastAsia="zh-CN"/>
        </w:rPr>
        <w:t>要求，系统强化反舞弊应对，</w:t>
      </w:r>
      <w:r>
        <w:rPr>
          <w:rFonts w:hint="default" w:ascii="仿宋" w:hAnsi="仿宋" w:eastAsia="仿宋" w:cs="仿宋"/>
          <w:b w:val="0"/>
          <w:bCs w:val="0"/>
          <w:sz w:val="32"/>
          <w:szCs w:val="32"/>
          <w:highlight w:val="none"/>
          <w:lang w:val="en-US" w:eastAsia="zh-CN"/>
        </w:rPr>
        <w:t>增强对财务造假手段、迹象的警觉意识，</w:t>
      </w:r>
      <w:r>
        <w:rPr>
          <w:rFonts w:hint="default" w:ascii="仿宋" w:hAnsi="仿宋" w:eastAsia="仿宋" w:cs="Times New Roman"/>
          <w:color w:val="000000"/>
          <w:sz w:val="32"/>
          <w:szCs w:val="32"/>
          <w:lang w:val="en-US" w:eastAsia="zh-CN"/>
        </w:rPr>
        <w:t>针对舞弊易发高发领域制定</w:t>
      </w:r>
      <w:r>
        <w:rPr>
          <w:rFonts w:hint="eastAsia" w:ascii="仿宋" w:hAnsi="仿宋" w:eastAsia="仿宋" w:cs="Times New Roman"/>
          <w:color w:val="000000"/>
          <w:sz w:val="32"/>
          <w:szCs w:val="32"/>
          <w:lang w:val="en-US" w:eastAsia="zh-CN"/>
        </w:rPr>
        <w:t>针对性</w:t>
      </w:r>
      <w:r>
        <w:rPr>
          <w:rFonts w:hint="default" w:ascii="仿宋" w:hAnsi="仿宋" w:eastAsia="仿宋" w:cs="Times New Roman"/>
          <w:color w:val="000000"/>
          <w:sz w:val="32"/>
          <w:szCs w:val="32"/>
          <w:lang w:val="en-US" w:eastAsia="zh-CN"/>
        </w:rPr>
        <w:t>应对措施，加大审计程序的不可预见性。</w:t>
      </w:r>
    </w:p>
    <w:p>
      <w:pPr>
        <w:pStyle w:val="14"/>
        <w:keepNext w:val="0"/>
        <w:keepLines w:val="0"/>
        <w:pageBreakBefore w:val="0"/>
        <w:kinsoku/>
        <w:wordWrap/>
        <w:overflowPunct/>
        <w:topLinePunct w:val="0"/>
        <w:bidi w:val="0"/>
        <w:adjustRightInd/>
        <w:snapToGrid/>
        <w:spacing w:before="0" w:beforeAutospacing="0" w:after="0" w:afterAutospacing="0" w:line="560" w:lineRule="exact"/>
        <w:ind w:firstLine="640" w:firstLineChars="200"/>
        <w:jc w:val="both"/>
        <w:textAlignment w:val="auto"/>
        <w:rPr>
          <w:rFonts w:hint="eastAsia" w:ascii="仿宋" w:hAnsi="仿宋" w:eastAsia="仿宋" w:cs="Times New Roman"/>
          <w:color w:val="000000"/>
          <w:sz w:val="32"/>
          <w:szCs w:val="32"/>
          <w:lang w:val="en-US" w:eastAsia="zh-CN"/>
        </w:rPr>
      </w:pPr>
      <w:r>
        <w:rPr>
          <w:rFonts w:hint="eastAsia" w:ascii="仿宋" w:hAnsi="仿宋" w:eastAsia="仿宋" w:cs="Times New Roman"/>
          <w:color w:val="000000"/>
          <w:sz w:val="32"/>
          <w:szCs w:val="32"/>
          <w:lang w:val="en-US" w:eastAsia="zh-CN"/>
        </w:rPr>
        <w:t>三是强化审计执业质量管理，重视收入确认、资产减值、关联方交易与资金占用、金融工具、数据资源、非经常性损益、会计政策与会计估计</w:t>
      </w:r>
      <w:r>
        <w:rPr>
          <w:rFonts w:hint="default" w:ascii="仿宋" w:hAnsi="仿宋" w:eastAsia="仿宋" w:cs="Times New Roman"/>
          <w:color w:val="000000"/>
          <w:sz w:val="32"/>
          <w:szCs w:val="32"/>
          <w:lang w:val="en-US" w:eastAsia="zh-CN"/>
        </w:rPr>
        <w:t>等</w:t>
      </w:r>
      <w:r>
        <w:rPr>
          <w:rFonts w:hint="eastAsia" w:ascii="仿宋" w:hAnsi="仿宋" w:eastAsia="仿宋" w:cs="Times New Roman"/>
          <w:color w:val="000000"/>
          <w:sz w:val="32"/>
          <w:szCs w:val="32"/>
          <w:lang w:val="en-US" w:eastAsia="zh-CN"/>
        </w:rPr>
        <w:t>重点领域审计风险，审慎恰当发表审计意见和专项核查意见。</w:t>
      </w:r>
    </w:p>
    <w:p>
      <w:pPr>
        <w:pStyle w:val="14"/>
        <w:keepNext w:val="0"/>
        <w:keepLines w:val="0"/>
        <w:pageBreakBefore w:val="0"/>
        <w:kinsoku/>
        <w:wordWrap/>
        <w:overflowPunct/>
        <w:topLinePunct w:val="0"/>
        <w:bidi w:val="0"/>
        <w:adjustRightInd/>
        <w:snapToGrid/>
        <w:spacing w:before="0" w:beforeAutospacing="0" w:after="0" w:afterAutospacing="0" w:line="560" w:lineRule="exact"/>
        <w:ind w:firstLine="640" w:firstLineChars="200"/>
        <w:jc w:val="both"/>
        <w:textAlignment w:val="auto"/>
        <w:rPr>
          <w:rFonts w:hint="eastAsia" w:ascii="仿宋" w:hAnsi="仿宋" w:eastAsia="仿宋" w:cs="Times New Roman"/>
          <w:color w:val="000000"/>
          <w:sz w:val="32"/>
          <w:szCs w:val="32"/>
          <w:lang w:val="en-US" w:eastAsia="zh-CN"/>
        </w:rPr>
      </w:pPr>
      <w:r>
        <w:rPr>
          <w:rFonts w:hint="eastAsia" w:ascii="仿宋" w:hAnsi="仿宋" w:eastAsia="仿宋" w:cs="Times New Roman"/>
          <w:color w:val="000000"/>
          <w:sz w:val="32"/>
          <w:szCs w:val="32"/>
          <w:lang w:val="en-US" w:eastAsia="zh-CN"/>
        </w:rPr>
        <w:t>四是强化与上市公司审计委员会的沟通，及时报告审计工作中遇到的重大困难和问题，取得审计委员会支持。</w:t>
      </w:r>
    </w:p>
    <w:p>
      <w:pPr>
        <w:pStyle w:val="14"/>
        <w:keepNext w:val="0"/>
        <w:keepLines w:val="0"/>
        <w:pageBreakBefore w:val="0"/>
        <w:kinsoku/>
        <w:wordWrap/>
        <w:overflowPunct/>
        <w:topLinePunct w:val="0"/>
        <w:bidi w:val="0"/>
        <w:adjustRightInd/>
        <w:snapToGrid/>
        <w:spacing w:before="0" w:beforeAutospacing="0" w:after="0" w:afterAutospacing="0" w:line="560" w:lineRule="exact"/>
        <w:ind w:firstLine="640" w:firstLineChars="200"/>
        <w:jc w:val="both"/>
        <w:textAlignment w:val="auto"/>
        <w:rPr>
          <w:rFonts w:hint="eastAsia" w:ascii="仿宋" w:hAnsi="仿宋" w:eastAsia="仿宋" w:cs="Times New Roman"/>
          <w:color w:val="000000"/>
          <w:sz w:val="32"/>
          <w:szCs w:val="32"/>
          <w:lang w:val="en-US" w:eastAsia="zh-CN"/>
        </w:rPr>
      </w:pPr>
      <w:r>
        <w:rPr>
          <w:rFonts w:hint="eastAsia" w:ascii="仿宋" w:hAnsi="仿宋" w:eastAsia="仿宋" w:cs="Times New Roman"/>
          <w:color w:val="000000"/>
          <w:sz w:val="32"/>
          <w:szCs w:val="32"/>
          <w:lang w:val="en-US" w:eastAsia="zh-CN"/>
        </w:rPr>
        <w:t>五是关注年报编制准则、年报格式准则及相关年报通知，配合上市公司做好信息披露。</w:t>
      </w:r>
      <w:r>
        <w:rPr>
          <w:rFonts w:hint="eastAsia" w:ascii="仿宋" w:hAnsi="仿宋" w:eastAsia="仿宋" w:cs="Times New Roman"/>
          <w:sz w:val="32"/>
          <w:szCs w:val="32"/>
        </w:rPr>
        <w:t>会计师事务所应结合审计情况关注上市公司业绩预告是否存在需要更正的情况，如果存在，会计师事务所应当及时告知上市公司，配合上市公司及时依规更正。会计师事务所要按照财务类退市风险公司相关信息披露要求（如涉及），</w:t>
      </w:r>
      <w:r>
        <w:rPr>
          <w:rFonts w:hint="eastAsia" w:ascii="仿宋" w:hAnsi="仿宋" w:eastAsia="仿宋" w:cs="Times New Roman"/>
          <w:color w:val="000000"/>
          <w:sz w:val="32"/>
          <w:szCs w:val="32"/>
          <w:lang w:val="en-US" w:eastAsia="zh-CN"/>
        </w:rPr>
        <w:t>在上市公司相关风险提示公告、年报编制及审计进展等公告中，及时说明审计进展、是否存在重大分歧等事项。</w:t>
      </w:r>
    </w:p>
    <w:p>
      <w:pPr>
        <w:pStyle w:val="14"/>
        <w:keepNext w:val="0"/>
        <w:keepLines w:val="0"/>
        <w:pageBreakBefore w:val="0"/>
        <w:kinsoku/>
        <w:wordWrap/>
        <w:overflowPunct/>
        <w:topLinePunct w:val="0"/>
        <w:bidi w:val="0"/>
        <w:adjustRightInd/>
        <w:snapToGrid/>
        <w:spacing w:before="0" w:beforeAutospacing="0" w:after="0" w:afterAutospacing="0" w:line="560" w:lineRule="exact"/>
        <w:ind w:firstLine="640" w:firstLineChars="200"/>
        <w:jc w:val="both"/>
        <w:textAlignment w:val="auto"/>
        <w:rPr>
          <w:rFonts w:hint="eastAsia" w:ascii="仿宋" w:hAnsi="仿宋" w:eastAsia="仿宋" w:cs="Times New Roman"/>
          <w:color w:val="000000"/>
          <w:sz w:val="32"/>
          <w:szCs w:val="32"/>
          <w:lang w:val="en-US" w:eastAsia="zh-CN"/>
        </w:rPr>
      </w:pPr>
      <w:r>
        <w:rPr>
          <w:rFonts w:hint="eastAsia" w:ascii="仿宋" w:hAnsi="仿宋" w:eastAsia="仿宋" w:cs="Times New Roman"/>
          <w:color w:val="000000"/>
          <w:sz w:val="32"/>
          <w:szCs w:val="32"/>
          <w:lang w:val="en-US" w:eastAsia="zh-CN"/>
        </w:rPr>
        <w:t>六是及时报告问题线索。会计师事务所在重大会计处理、审计意见类型等方面与上市公司存在重大分歧，或发现上市公司存在违反会计法律法规的行为且拒不配合纠正的，应当及时向相关监管部门报告。</w:t>
      </w:r>
    </w:p>
    <w:p>
      <w:pPr>
        <w:keepNext w:val="0"/>
        <w:keepLines w:val="0"/>
        <w:pageBreakBefore w:val="0"/>
        <w:kinsoku/>
        <w:wordWrap/>
        <w:overflowPunct/>
        <w:topLinePunct/>
        <w:autoSpaceDN/>
        <w:bidi w:val="0"/>
        <w:adjustRightInd w:val="0"/>
        <w:snapToGrid w:val="0"/>
        <w:spacing w:line="560" w:lineRule="exact"/>
        <w:ind w:left="0" w:leftChars="0" w:right="0" w:rightChars="0"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二</w:t>
      </w:r>
      <w:r>
        <w:rPr>
          <w:rFonts w:hint="eastAsia" w:ascii="楷体" w:hAnsi="楷体" w:eastAsia="楷体" w:cs="Times New Roman"/>
          <w:color w:val="000000"/>
          <w:sz w:val="32"/>
          <w:szCs w:val="32"/>
          <w:highlight w:val="none"/>
        </w:rPr>
        <w:t>）审计评估机构自律监管措施和纪律处分情况</w:t>
      </w:r>
    </w:p>
    <w:p>
      <w:pPr>
        <w:keepNext w:val="0"/>
        <w:keepLines w:val="0"/>
        <w:pageBreakBefore w:val="0"/>
        <w:numPr>
          <w:ilvl w:val="0"/>
          <w:numId w:val="0"/>
        </w:numPr>
        <w:kinsoku/>
        <w:wordWrap/>
        <w:overflowPunct/>
        <w:topLinePunct w:val="0"/>
        <w:autoSpaceDN/>
        <w:bidi w:val="0"/>
        <w:adjustRightInd/>
        <w:snapToGrid/>
        <w:spacing w:line="560" w:lineRule="exact"/>
        <w:ind w:left="0" w:leftChars="0" w:right="0" w:firstLine="640" w:firstLineChars="200"/>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lang w:eastAsia="zh-CN"/>
        </w:rPr>
        <w:t>本</w:t>
      </w:r>
      <w:r>
        <w:rPr>
          <w:rFonts w:hint="eastAsia" w:ascii="仿宋" w:hAnsi="仿宋" w:eastAsia="仿宋" w:cs="Times New Roman"/>
          <w:color w:val="000000"/>
          <w:sz w:val="32"/>
          <w:szCs w:val="32"/>
          <w:highlight w:val="none"/>
        </w:rPr>
        <w:t>所</w:t>
      </w:r>
      <w:r>
        <w:rPr>
          <w:rFonts w:hint="eastAsia" w:ascii="仿宋" w:hAnsi="仿宋" w:eastAsia="仿宋" w:cs="Times New Roman"/>
          <w:color w:val="000000"/>
          <w:sz w:val="32"/>
          <w:szCs w:val="32"/>
          <w:highlight w:val="none"/>
          <w:lang w:eastAsia="zh-CN"/>
        </w:rPr>
        <w:t>坚守监管主责主业，</w:t>
      </w:r>
      <w:r>
        <w:rPr>
          <w:rFonts w:hint="eastAsia" w:ascii="仿宋" w:hAnsi="仿宋" w:eastAsia="仿宋" w:cs="Times New Roman"/>
          <w:color w:val="000000"/>
          <w:sz w:val="32"/>
          <w:szCs w:val="32"/>
          <w:highlight w:val="none"/>
        </w:rPr>
        <w:t>围绕推动提高上市公司质量、严把发行上市“入口关”</w:t>
      </w:r>
      <w:r>
        <w:rPr>
          <w:rFonts w:hint="eastAsia" w:ascii="仿宋" w:hAnsi="仿宋" w:eastAsia="仿宋" w:cs="Times New Roman"/>
          <w:color w:val="000000"/>
          <w:sz w:val="32"/>
          <w:szCs w:val="32"/>
          <w:highlight w:val="none"/>
          <w:lang w:eastAsia="zh-CN"/>
        </w:rPr>
        <w:t>目标</w:t>
      </w:r>
      <w:r>
        <w:rPr>
          <w:rFonts w:hint="eastAsia" w:ascii="仿宋" w:hAnsi="仿宋" w:eastAsia="仿宋" w:cs="Times New Roman"/>
          <w:color w:val="000000"/>
          <w:sz w:val="32"/>
          <w:szCs w:val="32"/>
          <w:highlight w:val="none"/>
        </w:rPr>
        <w:t>，</w:t>
      </w:r>
      <w:r>
        <w:rPr>
          <w:rFonts w:hint="eastAsia" w:ascii="仿宋" w:hAnsi="仿宋" w:eastAsia="仿宋" w:cs="Times New Roman"/>
          <w:color w:val="000000"/>
          <w:sz w:val="32"/>
          <w:szCs w:val="32"/>
          <w:highlight w:val="none"/>
          <w:lang w:eastAsia="zh-CN"/>
        </w:rPr>
        <w:t>坚持严监严管</w:t>
      </w:r>
      <w:r>
        <w:rPr>
          <w:rFonts w:hint="eastAsia" w:ascii="仿宋" w:hAnsi="仿宋" w:eastAsia="仿宋" w:cs="Times New Roman"/>
          <w:color w:val="000000"/>
          <w:sz w:val="32"/>
          <w:szCs w:val="32"/>
          <w:highlight w:val="none"/>
        </w:rPr>
        <w:t>，依规</w:t>
      </w:r>
      <w:r>
        <w:rPr>
          <w:rFonts w:hint="eastAsia" w:ascii="仿宋" w:hAnsi="仿宋" w:eastAsia="仿宋" w:cs="Times New Roman"/>
          <w:color w:val="000000"/>
          <w:sz w:val="32"/>
          <w:szCs w:val="32"/>
          <w:highlight w:val="none"/>
          <w:lang w:eastAsia="zh-CN"/>
        </w:rPr>
        <w:t>对</w:t>
      </w:r>
      <w:r>
        <w:rPr>
          <w:rFonts w:hint="eastAsia" w:ascii="仿宋" w:hAnsi="仿宋" w:eastAsia="仿宋" w:cs="Times New Roman"/>
          <w:color w:val="000000"/>
          <w:sz w:val="32"/>
          <w:szCs w:val="32"/>
          <w:highlight w:val="none"/>
        </w:rPr>
        <w:t>审计评估</w:t>
      </w:r>
      <w:r>
        <w:rPr>
          <w:rFonts w:hint="eastAsia" w:ascii="仿宋" w:hAnsi="仿宋" w:eastAsia="仿宋" w:cs="Times New Roman"/>
          <w:color w:val="000000"/>
          <w:sz w:val="32"/>
          <w:szCs w:val="32"/>
          <w:highlight w:val="none"/>
          <w:lang w:eastAsia="zh-CN"/>
        </w:rPr>
        <w:t>相关</w:t>
      </w:r>
      <w:r>
        <w:rPr>
          <w:rFonts w:hint="eastAsia" w:ascii="仿宋" w:hAnsi="仿宋" w:eastAsia="仿宋" w:cs="Times New Roman"/>
          <w:color w:val="000000"/>
          <w:sz w:val="32"/>
          <w:szCs w:val="32"/>
          <w:highlight w:val="none"/>
        </w:rPr>
        <w:t>违规行为</w:t>
      </w:r>
      <w:r>
        <w:rPr>
          <w:rFonts w:hint="eastAsia" w:ascii="仿宋" w:hAnsi="仿宋" w:eastAsia="仿宋" w:cs="Times New Roman"/>
          <w:color w:val="000000"/>
          <w:sz w:val="32"/>
          <w:szCs w:val="32"/>
          <w:highlight w:val="none"/>
          <w:lang w:eastAsia="zh-CN"/>
        </w:rPr>
        <w:t>作出监管处分</w:t>
      </w:r>
      <w:r>
        <w:rPr>
          <w:rFonts w:hint="eastAsia" w:ascii="仿宋" w:hAnsi="仿宋" w:eastAsia="仿宋" w:cs="Times New Roman"/>
          <w:color w:val="000000"/>
          <w:sz w:val="32"/>
          <w:szCs w:val="32"/>
          <w:highlight w:val="none"/>
        </w:rPr>
        <w:t>。</w:t>
      </w:r>
    </w:p>
    <w:p>
      <w:pPr>
        <w:keepNext w:val="0"/>
        <w:keepLines w:val="0"/>
        <w:pageBreakBefore w:val="0"/>
        <w:numPr>
          <w:ilvl w:val="0"/>
          <w:numId w:val="0"/>
        </w:numPr>
        <w:kinsoku/>
        <w:wordWrap/>
        <w:overflowPunct/>
        <w:topLinePunct w:val="0"/>
        <w:autoSpaceDN/>
        <w:bidi w:val="0"/>
        <w:adjustRightInd/>
        <w:snapToGrid/>
        <w:spacing w:line="560" w:lineRule="exact"/>
        <w:ind w:left="0" w:leftChars="0" w:right="0" w:firstLine="640" w:firstLineChars="200"/>
        <w:rPr>
          <w:rFonts w:hint="eastAsia" w:ascii="仿宋" w:hAnsi="仿宋" w:eastAsia="仿宋" w:cs="仿宋"/>
          <w:sz w:val="32"/>
          <w:szCs w:val="32"/>
          <w:highlight w:val="none"/>
          <w:lang w:val="en-US" w:eastAsia="zh-CN"/>
        </w:rPr>
      </w:pPr>
      <w:r>
        <w:rPr>
          <w:rFonts w:hint="eastAsia" w:ascii="仿宋" w:hAnsi="仿宋" w:eastAsia="仿宋" w:cs="Times New Roman"/>
          <w:color w:val="000000"/>
          <w:sz w:val="32"/>
          <w:szCs w:val="32"/>
          <w:highlight w:val="none"/>
        </w:rPr>
        <w:t>202</w:t>
      </w:r>
      <w:r>
        <w:rPr>
          <w:rFonts w:hint="eastAsia" w:ascii="仿宋" w:hAnsi="仿宋" w:eastAsia="仿宋" w:cs="Times New Roman"/>
          <w:color w:val="000000"/>
          <w:sz w:val="32"/>
          <w:szCs w:val="32"/>
          <w:highlight w:val="none"/>
          <w:lang w:val="en-US" w:eastAsia="zh-CN"/>
        </w:rPr>
        <w:t>5</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10</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12</w:t>
      </w:r>
      <w:r>
        <w:rPr>
          <w:rFonts w:hint="eastAsia" w:ascii="仿宋" w:hAnsi="仿宋" w:eastAsia="仿宋" w:cs="Times New Roman"/>
          <w:color w:val="000000"/>
          <w:sz w:val="32"/>
          <w:szCs w:val="32"/>
          <w:highlight w:val="none"/>
        </w:rPr>
        <w:t>月，</w:t>
      </w:r>
      <w:r>
        <w:rPr>
          <w:rFonts w:hint="eastAsia" w:ascii="仿宋" w:hAnsi="仿宋" w:eastAsia="仿宋" w:cs="Times New Roman"/>
          <w:color w:val="000000"/>
          <w:sz w:val="32"/>
          <w:szCs w:val="32"/>
          <w:highlight w:val="none"/>
          <w:lang w:eastAsia="zh-CN"/>
        </w:rPr>
        <w:t>本</w:t>
      </w:r>
      <w:r>
        <w:rPr>
          <w:rFonts w:hint="eastAsia" w:ascii="仿宋" w:hAnsi="仿宋" w:eastAsia="仿宋" w:cs="Times New Roman"/>
          <w:color w:val="000000"/>
          <w:sz w:val="32"/>
          <w:szCs w:val="32"/>
          <w:highlight w:val="none"/>
        </w:rPr>
        <w:t>所共对审计违规行为作出纪律处分决定</w:t>
      </w:r>
      <w:r>
        <w:rPr>
          <w:rFonts w:hint="eastAsia" w:ascii="仿宋" w:hAnsi="仿宋" w:eastAsia="仿宋" w:cs="Times New Roman"/>
          <w:color w:val="000000"/>
          <w:sz w:val="32"/>
          <w:szCs w:val="32"/>
          <w:highlight w:val="none"/>
          <w:lang w:val="en-US" w:eastAsia="zh-CN"/>
        </w:rPr>
        <w:t>13</w:t>
      </w:r>
      <w:r>
        <w:rPr>
          <w:rFonts w:hint="eastAsia" w:ascii="仿宋" w:hAnsi="仿宋" w:eastAsia="仿宋" w:cs="Times New Roman"/>
          <w:color w:val="000000"/>
          <w:sz w:val="32"/>
          <w:szCs w:val="32"/>
          <w:highlight w:val="none"/>
        </w:rPr>
        <w:t>份，涉及</w:t>
      </w:r>
      <w:r>
        <w:rPr>
          <w:rFonts w:hint="eastAsia" w:ascii="仿宋" w:hAnsi="仿宋" w:eastAsia="仿宋" w:cs="Times New Roman"/>
          <w:color w:val="000000"/>
          <w:sz w:val="32"/>
          <w:szCs w:val="32"/>
          <w:highlight w:val="none"/>
          <w:lang w:val="en-US" w:eastAsia="zh-CN"/>
        </w:rPr>
        <w:t>12家次审计机构和36</w:t>
      </w:r>
      <w:r>
        <w:rPr>
          <w:rFonts w:hint="eastAsia" w:ascii="仿宋" w:hAnsi="仿宋" w:eastAsia="仿宋" w:cs="Times New Roman"/>
          <w:color w:val="000000"/>
          <w:sz w:val="32"/>
          <w:szCs w:val="32"/>
          <w:highlight w:val="none"/>
        </w:rPr>
        <w:t>人次</w:t>
      </w:r>
      <w:r>
        <w:rPr>
          <w:rFonts w:hint="eastAsia" w:ascii="仿宋" w:hAnsi="仿宋" w:eastAsia="仿宋" w:cs="Times New Roman"/>
          <w:color w:val="000000"/>
          <w:sz w:val="32"/>
          <w:szCs w:val="32"/>
          <w:highlight w:val="none"/>
          <w:lang w:eastAsia="zh-CN"/>
        </w:rPr>
        <w:t>签字注册</w:t>
      </w:r>
      <w:r>
        <w:rPr>
          <w:rFonts w:hint="eastAsia" w:ascii="仿宋" w:hAnsi="仿宋" w:eastAsia="仿宋" w:cs="Times New Roman"/>
          <w:color w:val="000000"/>
          <w:sz w:val="32"/>
          <w:szCs w:val="32"/>
          <w:highlight w:val="none"/>
        </w:rPr>
        <w:t>会计师。相关审</w:t>
      </w:r>
      <w:r>
        <w:rPr>
          <w:rFonts w:hint="eastAsia" w:ascii="仿宋" w:hAnsi="仿宋" w:eastAsia="仿宋" w:cs="仿宋"/>
          <w:color w:val="auto"/>
          <w:sz w:val="32"/>
          <w:szCs w:val="32"/>
          <w:highlight w:val="none"/>
        </w:rPr>
        <w:t>计机构执业问题主要表现为：</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val="0"/>
          <w:bCs w:val="0"/>
          <w:i w:val="0"/>
          <w:iCs w:val="0"/>
          <w:caps w:val="0"/>
          <w:color w:val="auto"/>
          <w:spacing w:val="0"/>
          <w:sz w:val="32"/>
          <w:szCs w:val="32"/>
          <w:highlight w:val="none"/>
          <w:shd w:val="clear"/>
          <w:lang w:val="en-US" w:eastAsia="zh-CN"/>
        </w:rPr>
        <w:t>1</w:t>
      </w:r>
      <w:r>
        <w:rPr>
          <w:rFonts w:hint="eastAsia" w:ascii="仿宋" w:hAnsi="仿宋" w:eastAsia="仿宋" w:cs="仿宋"/>
          <w:b w:val="0"/>
          <w:bCs w:val="0"/>
          <w:color w:val="auto"/>
          <w:sz w:val="32"/>
          <w:szCs w:val="32"/>
          <w:highlight w:val="none"/>
        </w:rPr>
        <w:t>．</w:t>
      </w:r>
      <w:r>
        <w:rPr>
          <w:rFonts w:hint="eastAsia" w:ascii="仿宋" w:hAnsi="仿宋" w:eastAsia="仿宋" w:cs="仿宋"/>
          <w:sz w:val="32"/>
          <w:szCs w:val="32"/>
          <w:highlight w:val="none"/>
          <w:lang w:val="en-US" w:eastAsia="zh-CN"/>
        </w:rPr>
        <w:t>风险评估、控制测试相关审计程序执行不到位。例如，未准确了解子公司经营活动，未根据业务特征有针对性地制定风险应对措施；在已识别公司应收账款存在认定层次重大错报风险的情况下，未对大额长账龄应收账款存在较高信用风险保持充分关注，未针对应收账款的可收回性设计并执行进一步审计程序，应对重大错报风险的审计程序不充分；未按照具体审计计划开展相关内部控制测试程序；在将咨询服务费收入确认识别为特别风险的情况下，未了解与咨询服务业务相关的控制；在销售与收款循环控制测试抽取样本环节，未从公司生产管理系统获取出库单和销售明细单，导致未能发现公司记账凭证与生产管理系统的出库单、销售明细单相关数据存在明显差异的情况等。</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w:t>
      </w:r>
      <w:r>
        <w:rPr>
          <w:rFonts w:hint="eastAsia" w:ascii="仿宋" w:hAnsi="仿宋" w:eastAsia="仿宋" w:cs="仿宋"/>
          <w:b w:val="0"/>
          <w:bCs w:val="0"/>
          <w:sz w:val="32"/>
          <w:szCs w:val="32"/>
          <w:highlight w:val="none"/>
        </w:rPr>
        <w:t>．</w:t>
      </w:r>
      <w:r>
        <w:rPr>
          <w:rFonts w:hint="eastAsia" w:ascii="仿宋" w:hAnsi="仿宋" w:eastAsia="仿宋" w:cs="仿宋"/>
          <w:sz w:val="32"/>
          <w:szCs w:val="32"/>
          <w:highlight w:val="none"/>
          <w:lang w:val="en-US" w:eastAsia="zh-CN"/>
        </w:rPr>
        <w:t>对货币资金、应收利息等执行的相关审计程序不到位。例如，未对银行询证函回函与银行系统中留存的银行询证函回函金额、字体不一致的异常未保持合理的职业怀疑，未对银行函证过程保持控制，导致银行函证程序失效，获取了虚假银行询证函回函；未对银行询证函与银行对账单年末余额不一致的情况保持职业怀疑，未检查银行存款余额调节表中差异形成的原因，未对同一审计年度同一银行回函形式不同保持关注，未按照审计程序要求亲自去银行获取对账单且未发现银行对账单异常情况；未对不同的债权投资对象集中在同一天现金存入利息且交易流水号连续的异常情况保持职业怀疑等。</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w:t>
      </w:r>
      <w:r>
        <w:rPr>
          <w:rFonts w:hint="eastAsia" w:ascii="仿宋" w:hAnsi="仿宋" w:eastAsia="仿宋" w:cs="仿宋"/>
          <w:b w:val="0"/>
          <w:bCs w:val="0"/>
          <w:sz w:val="32"/>
          <w:szCs w:val="32"/>
          <w:highlight w:val="none"/>
        </w:rPr>
        <w:t>．</w:t>
      </w:r>
      <w:r>
        <w:rPr>
          <w:rFonts w:hint="eastAsia" w:ascii="仿宋" w:hAnsi="仿宋" w:eastAsia="仿宋" w:cs="仿宋"/>
          <w:sz w:val="32"/>
          <w:szCs w:val="32"/>
          <w:highlight w:val="none"/>
          <w:lang w:val="en-US" w:eastAsia="zh-CN"/>
        </w:rPr>
        <w:t>对收入、成本执行的相关审计程序不到位。例如，通过企查查获取客户工商信息的日期晚于年度审计报告出具时间；未对咨询服务协议签署日与咨询服务费用收取日相近、咨询服务报告引用数据发生时间晚于咨询服务完成时间、咨询服务费用远超客户规模等异常保持职业怀疑；未关注到部分客户的收货地址与注册地址、办公地址明显不一致，部分客户的收货人同时为其他客户的函证联系人和法定代表人，送货单日期早于出货单的签署日期等异常情况；未恰当评价收入确认会计政策的合理性，未识别出相关业务收入采用总额法确认存在错报；审计计划显示，对营业收入截止性测试时间覆盖范围为资产负债表日前后20天，但实际测试时间覆盖范围为2天；</w:t>
      </w:r>
      <w:r>
        <w:rPr>
          <w:rFonts w:hint="eastAsia" w:ascii="仿宋" w:hAnsi="仿宋" w:eastAsia="仿宋" w:cs="仿宋"/>
          <w:kern w:val="0"/>
          <w:sz w:val="32"/>
          <w:szCs w:val="32"/>
          <w:highlight w:val="none"/>
          <w:lang w:val="en-US" w:eastAsia="zh-CN" w:bidi="ar"/>
        </w:rPr>
        <w:t>标的公司存在提前确认收入的情况，会计师对标的公司部分项目收入确认、成本核算准确性执行的核查程序不到位，</w:t>
      </w:r>
      <w:r>
        <w:rPr>
          <w:rFonts w:hint="default" w:ascii="仿宋" w:hAnsi="仿宋" w:eastAsia="仿宋" w:cs="仿宋"/>
          <w:kern w:val="0"/>
          <w:sz w:val="32"/>
          <w:szCs w:val="32"/>
          <w:highlight w:val="none"/>
          <w:lang w:val="en-US" w:eastAsia="zh-CN" w:bidi="ar"/>
        </w:rPr>
        <w:t>发表的核查意见不审</w:t>
      </w:r>
      <w:r>
        <w:rPr>
          <w:rFonts w:hint="eastAsia" w:ascii="仿宋" w:hAnsi="仿宋" w:eastAsia="仿宋" w:cs="仿宋"/>
          <w:kern w:val="0"/>
          <w:sz w:val="32"/>
          <w:szCs w:val="32"/>
          <w:highlight w:val="none"/>
          <w:lang w:val="en-US" w:eastAsia="zh-CN" w:bidi="ar"/>
        </w:rPr>
        <w:t>慎等。</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4</w:t>
      </w:r>
      <w:r>
        <w:rPr>
          <w:rFonts w:hint="eastAsia" w:ascii="仿宋" w:hAnsi="仿宋" w:eastAsia="仿宋" w:cs="仿宋"/>
          <w:b w:val="0"/>
          <w:bCs w:val="0"/>
          <w:sz w:val="32"/>
          <w:szCs w:val="32"/>
          <w:highlight w:val="none"/>
        </w:rPr>
        <w:t>．</w:t>
      </w:r>
      <w:r>
        <w:rPr>
          <w:rFonts w:hint="eastAsia" w:ascii="仿宋" w:hAnsi="仿宋" w:eastAsia="仿宋" w:cs="仿宋"/>
          <w:sz w:val="32"/>
          <w:szCs w:val="32"/>
          <w:highlight w:val="none"/>
          <w:lang w:val="en-US" w:eastAsia="zh-CN"/>
        </w:rPr>
        <w:t>对关联方及关联方交易执行的相关审计程序不到位。例如，对可能表明存在的关联方关系或关联交易的信息，未实施进一步审计程序予以识别评价；未审慎核查公司提供的关联方清单的完整性，未进一步识别出关联交易；《关联方及关联方交易程序表》中“了解与关联方及其交易相关的控制”“针对与关联方及其交易相关的重大错报风险的应对措施”“测试和评价关联方及其交易的会计处理和披露”等审计程序仅有索引号，未见相关底稿等。</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5</w:t>
      </w:r>
      <w:r>
        <w:rPr>
          <w:rFonts w:hint="eastAsia" w:ascii="仿宋" w:hAnsi="仿宋" w:eastAsia="仿宋" w:cs="仿宋"/>
          <w:b w:val="0"/>
          <w:bCs w:val="0"/>
          <w:sz w:val="32"/>
          <w:szCs w:val="32"/>
          <w:highlight w:val="none"/>
        </w:rPr>
        <w:t>．</w:t>
      </w:r>
      <w:r>
        <w:rPr>
          <w:rFonts w:hint="eastAsia" w:ascii="仿宋" w:hAnsi="仿宋" w:eastAsia="仿宋" w:cs="仿宋"/>
          <w:sz w:val="32"/>
          <w:szCs w:val="32"/>
          <w:highlight w:val="none"/>
          <w:lang w:val="en-US" w:eastAsia="zh-CN"/>
        </w:rPr>
        <w:t>对在建工程、可供出售金融资产、其他流动资产等执行的相关审计程序不到位。例如，未按照审计计划通过观察工地现场来核实进度，未发现实际工程进度与账面记载明显不一致；未就《“在建工程-房屋及建筑物明细”凭证测试》后附发票金额与记账金额不符、差额较大的原因进行核实并记录于底稿中；未获取增资协议，未发现虚增可供出售金融资产的情况；审计底稿中未见被投资方提供担保的证据材料等。</w:t>
      </w:r>
    </w:p>
    <w:p>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w:t>
      </w:r>
      <w:r>
        <w:rPr>
          <w:rFonts w:hint="eastAsia" w:ascii="仿宋" w:hAnsi="仿宋" w:eastAsia="仿宋" w:cs="仿宋"/>
          <w:b w:val="0"/>
          <w:bCs w:val="0"/>
          <w:sz w:val="32"/>
          <w:szCs w:val="32"/>
          <w:highlight w:val="none"/>
        </w:rPr>
        <w:t>．</w:t>
      </w:r>
      <w:r>
        <w:rPr>
          <w:rFonts w:hint="eastAsia" w:ascii="仿宋" w:hAnsi="仿宋" w:eastAsia="仿宋" w:cs="仿宋"/>
          <w:sz w:val="32"/>
          <w:szCs w:val="32"/>
          <w:highlight w:val="none"/>
          <w:lang w:val="en-US" w:eastAsia="zh-CN"/>
        </w:rPr>
        <w:t>函证、访谈、审计抽样等相关审计程序执行不到位。例如，部分询证函的回函地址与发函地址不一致，部分询证函未见发函或回函快递单，部分被函证单位联系人、联系电话相同，部分被函证单位地址相同，部分回函快递单据显示询证函回复日期晚于审计报告签署日期；在收到重大异常回函后，仅进行回函差异分析，但未采取进一步审计程序；客户访谈的《中介机构现场工作记录》内容不完整；客户访谈记录简单、流于形式；走访客户数量少，占比低；未留存被访谈人身份证明资料；对走访项目实施的审计抽样不能为项目收入确认的总体结论提供合理基础；未针对访谈对象拒绝签字的异常情形保持应有职业怀疑，并执行进一步审计程序；未通过科学的抽样方法将抽样风险降低至可接受的低水平，未明确样本选取标准等。</w:t>
      </w:r>
    </w:p>
    <w:p>
      <w:pPr>
        <w:keepNext w:val="0"/>
        <w:keepLines w:val="0"/>
        <w:pageBreakBefore w:val="0"/>
        <w:kinsoku/>
        <w:wordWrap/>
        <w:overflowPunct/>
        <w:topLinePunct/>
        <w:autoSpaceDN/>
        <w:bidi w:val="0"/>
        <w:adjustRightInd w:val="0"/>
        <w:snapToGrid w:val="0"/>
        <w:spacing w:line="560" w:lineRule="exact"/>
        <w:ind w:left="0" w:leftChars="0" w:right="0" w:firstLine="640" w:firstLineChars="200"/>
        <w:rPr>
          <w:rFonts w:hint="eastAsia" w:ascii="仿宋" w:hAnsi="仿宋" w:eastAsia="仿宋" w:cs="Times New Roman"/>
          <w:color w:val="000000"/>
          <w:sz w:val="32"/>
          <w:szCs w:val="32"/>
          <w:highlight w:val="none"/>
          <w:lang w:eastAsia="zh-CN"/>
        </w:rPr>
      </w:pPr>
      <w:r>
        <w:rPr>
          <w:rFonts w:hint="eastAsia" w:ascii="仿宋" w:hAnsi="仿宋" w:eastAsia="仿宋" w:cs="Times New Roman"/>
          <w:color w:val="000000"/>
          <w:sz w:val="32"/>
          <w:szCs w:val="32"/>
          <w:highlight w:val="none"/>
        </w:rPr>
        <w:t>202</w:t>
      </w:r>
      <w:r>
        <w:rPr>
          <w:rFonts w:hint="eastAsia" w:ascii="仿宋" w:hAnsi="仿宋" w:eastAsia="仿宋" w:cs="Times New Roman"/>
          <w:color w:val="000000"/>
          <w:sz w:val="32"/>
          <w:szCs w:val="32"/>
          <w:highlight w:val="none"/>
          <w:lang w:val="en-US" w:eastAsia="zh-CN"/>
        </w:rPr>
        <w:t>5</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10</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12</w:t>
      </w:r>
      <w:r>
        <w:rPr>
          <w:rFonts w:hint="eastAsia" w:ascii="仿宋" w:hAnsi="仿宋" w:eastAsia="仿宋" w:cs="Times New Roman"/>
          <w:color w:val="000000"/>
          <w:sz w:val="32"/>
          <w:szCs w:val="32"/>
          <w:highlight w:val="none"/>
        </w:rPr>
        <w:t>月，</w:t>
      </w:r>
      <w:r>
        <w:rPr>
          <w:rFonts w:hint="eastAsia" w:ascii="仿宋" w:hAnsi="仿宋" w:eastAsia="仿宋" w:cs="Times New Roman"/>
          <w:color w:val="000000"/>
          <w:sz w:val="32"/>
          <w:szCs w:val="32"/>
          <w:highlight w:val="none"/>
          <w:lang w:eastAsia="zh-CN"/>
        </w:rPr>
        <w:t>本</w:t>
      </w:r>
      <w:r>
        <w:rPr>
          <w:rFonts w:hint="eastAsia" w:ascii="仿宋" w:hAnsi="仿宋" w:eastAsia="仿宋" w:cs="Times New Roman"/>
          <w:color w:val="000000"/>
          <w:sz w:val="32"/>
          <w:szCs w:val="32"/>
          <w:highlight w:val="none"/>
        </w:rPr>
        <w:t>所共对</w:t>
      </w:r>
      <w:r>
        <w:rPr>
          <w:rFonts w:hint="eastAsia" w:ascii="仿宋" w:hAnsi="仿宋" w:eastAsia="仿宋" w:cs="Times New Roman"/>
          <w:color w:val="000000"/>
          <w:sz w:val="32"/>
          <w:szCs w:val="32"/>
          <w:highlight w:val="none"/>
          <w:lang w:eastAsia="zh-CN"/>
        </w:rPr>
        <w:t>评估</w:t>
      </w:r>
      <w:r>
        <w:rPr>
          <w:rFonts w:hint="eastAsia" w:ascii="仿宋" w:hAnsi="仿宋" w:eastAsia="仿宋" w:cs="Times New Roman"/>
          <w:color w:val="000000"/>
          <w:sz w:val="32"/>
          <w:szCs w:val="32"/>
          <w:highlight w:val="none"/>
        </w:rPr>
        <w:t>违规行为作出纪律处分决定</w:t>
      </w:r>
      <w:r>
        <w:rPr>
          <w:rFonts w:hint="eastAsia" w:ascii="仿宋" w:hAnsi="仿宋" w:eastAsia="仿宋" w:cs="Times New Roman"/>
          <w:color w:val="000000"/>
          <w:sz w:val="32"/>
          <w:szCs w:val="32"/>
          <w:highlight w:val="none"/>
          <w:lang w:val="en-US" w:eastAsia="zh-CN"/>
        </w:rPr>
        <w:t>2</w:t>
      </w:r>
      <w:r>
        <w:rPr>
          <w:rFonts w:hint="eastAsia" w:ascii="仿宋" w:hAnsi="仿宋" w:eastAsia="仿宋" w:cs="Times New Roman"/>
          <w:color w:val="000000"/>
          <w:sz w:val="32"/>
          <w:szCs w:val="32"/>
          <w:highlight w:val="none"/>
        </w:rPr>
        <w:t>份，涉及</w:t>
      </w:r>
      <w:r>
        <w:rPr>
          <w:rFonts w:hint="eastAsia" w:ascii="仿宋" w:hAnsi="仿宋" w:eastAsia="仿宋" w:cs="Times New Roman"/>
          <w:color w:val="000000"/>
          <w:sz w:val="32"/>
          <w:szCs w:val="32"/>
          <w:highlight w:val="none"/>
          <w:lang w:val="en-US" w:eastAsia="zh-CN"/>
        </w:rPr>
        <w:t>1家次评估机构和5</w:t>
      </w:r>
      <w:r>
        <w:rPr>
          <w:rFonts w:hint="eastAsia" w:ascii="仿宋" w:hAnsi="仿宋" w:eastAsia="仿宋" w:cs="Times New Roman"/>
          <w:color w:val="000000"/>
          <w:sz w:val="32"/>
          <w:szCs w:val="32"/>
          <w:highlight w:val="none"/>
        </w:rPr>
        <w:t>人次</w:t>
      </w:r>
      <w:r>
        <w:rPr>
          <w:rFonts w:hint="eastAsia" w:ascii="仿宋" w:hAnsi="仿宋" w:eastAsia="仿宋" w:cs="Times New Roman"/>
          <w:color w:val="000000"/>
          <w:sz w:val="32"/>
          <w:szCs w:val="32"/>
          <w:highlight w:val="none"/>
          <w:lang w:eastAsia="zh-CN"/>
        </w:rPr>
        <w:t>签字资产评估师</w:t>
      </w:r>
      <w:r>
        <w:rPr>
          <w:rFonts w:hint="eastAsia" w:ascii="仿宋" w:hAnsi="仿宋" w:eastAsia="仿宋" w:cs="Times New Roman"/>
          <w:color w:val="000000"/>
          <w:sz w:val="32"/>
          <w:szCs w:val="32"/>
          <w:highlight w:val="none"/>
        </w:rPr>
        <w:t>。相关</w:t>
      </w:r>
      <w:r>
        <w:rPr>
          <w:rFonts w:hint="eastAsia" w:ascii="仿宋" w:hAnsi="仿宋" w:eastAsia="仿宋" w:cs="Times New Roman"/>
          <w:color w:val="000000"/>
          <w:sz w:val="32"/>
          <w:szCs w:val="32"/>
          <w:highlight w:val="none"/>
          <w:lang w:eastAsia="zh-CN"/>
        </w:rPr>
        <w:t>评估</w:t>
      </w:r>
      <w:r>
        <w:rPr>
          <w:rFonts w:hint="eastAsia" w:ascii="仿宋" w:hAnsi="仿宋" w:eastAsia="仿宋" w:cs="Times New Roman"/>
          <w:color w:val="000000"/>
          <w:sz w:val="32"/>
          <w:szCs w:val="32"/>
          <w:highlight w:val="none"/>
        </w:rPr>
        <w:t>机构执业问题主要表现为</w:t>
      </w:r>
      <w:r>
        <w:rPr>
          <w:rFonts w:hint="eastAsia" w:ascii="仿宋" w:hAnsi="仿宋" w:eastAsia="仿宋" w:cs="Times New Roman"/>
          <w:color w:val="000000"/>
          <w:sz w:val="32"/>
          <w:szCs w:val="32"/>
          <w:highlight w:val="none"/>
          <w:lang w:eastAsia="zh-CN"/>
        </w:rPr>
        <w:t>：</w:t>
      </w:r>
    </w:p>
    <w:p>
      <w:pPr>
        <w:keepNext w:val="0"/>
        <w:keepLines w:val="0"/>
        <w:pageBreakBefore w:val="0"/>
        <w:kinsoku/>
        <w:wordWrap/>
        <w:overflowPunct/>
        <w:topLinePunct/>
        <w:autoSpaceDN/>
        <w:bidi w:val="0"/>
        <w:adjustRightInd w:val="0"/>
        <w:snapToGrid w:val="0"/>
        <w:spacing w:line="560" w:lineRule="exact"/>
        <w:ind w:left="0" w:leftChars="0" w:right="0" w:firstLine="640" w:firstLineChars="200"/>
        <w:rPr>
          <w:rFonts w:hint="eastAsia" w:eastAsia="仿宋"/>
          <w:highlight w:val="none"/>
          <w:lang w:val="en-US" w:eastAsia="zh-CN"/>
        </w:rPr>
      </w:pPr>
      <w:r>
        <w:rPr>
          <w:rFonts w:hint="eastAsia" w:ascii="仿宋" w:hAnsi="仿宋" w:eastAsia="仿宋" w:cs="Times New Roman"/>
          <w:color w:val="000000"/>
          <w:sz w:val="32"/>
          <w:szCs w:val="32"/>
          <w:highlight w:val="none"/>
        </w:rPr>
        <w:t>对主要客户及订单核查验证工作执行不到位</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未对盈利预测的关键支撑材料进行必要的核查验证</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评估过程中未保持充分的独立性</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未记录其他权益投资价值评定估算过程</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评估结论形成日早于重要评估资料获取日</w:t>
      </w:r>
      <w:r>
        <w:rPr>
          <w:rFonts w:hint="eastAsia" w:ascii="仿宋" w:hAnsi="仿宋" w:eastAsia="仿宋" w:cs="Times New Roman"/>
          <w:color w:val="000000"/>
          <w:sz w:val="32"/>
          <w:szCs w:val="32"/>
          <w:highlight w:val="none"/>
          <w:lang w:eastAsia="zh-CN"/>
        </w:rPr>
        <w:t>；对发行人商誉减值进行评估时，未充分结合子公司所处行业状况、经营状况、预计未来现金流等，关注发行人预测期产品单价、产品销量与营运资本等关键假设是否合理等。</w:t>
      </w:r>
    </w:p>
    <w:p>
      <w:pPr>
        <w:keepNext w:val="0"/>
        <w:keepLines w:val="0"/>
        <w:pageBreakBefore w:val="0"/>
        <w:kinsoku/>
        <w:wordWrap/>
        <w:overflowPunct/>
        <w:topLinePunct/>
        <w:autoSpaceDN/>
        <w:bidi w:val="0"/>
        <w:adjustRightInd w:val="0"/>
        <w:snapToGrid w:val="0"/>
        <w:spacing w:line="560" w:lineRule="exact"/>
        <w:ind w:left="0" w:leftChars="0" w:right="0" w:rightChars="0"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三</w:t>
      </w:r>
      <w:r>
        <w:rPr>
          <w:rFonts w:hint="eastAsia" w:ascii="楷体" w:hAnsi="楷体" w:eastAsia="楷体" w:cs="Times New Roman"/>
          <w:color w:val="000000"/>
          <w:sz w:val="32"/>
          <w:szCs w:val="32"/>
          <w:highlight w:val="none"/>
        </w:rPr>
        <w:t>）审计评估机构行政处罚情况</w:t>
      </w:r>
    </w:p>
    <w:p>
      <w:pPr>
        <w:keepNext w:val="0"/>
        <w:keepLines w:val="0"/>
        <w:pageBreakBefore w:val="0"/>
        <w:widowControl/>
        <w:kinsoku/>
        <w:wordWrap/>
        <w:overflowPunct/>
        <w:topLinePunct w:val="0"/>
        <w:autoSpaceDN/>
        <w:bidi w:val="0"/>
        <w:adjustRightInd/>
        <w:snapToGrid/>
        <w:spacing w:line="560" w:lineRule="exact"/>
        <w:ind w:left="0" w:leftChars="0" w:right="0" w:rightChars="0" w:firstLine="640" w:firstLineChars="200"/>
        <w:rPr>
          <w:rFonts w:hint="eastAsia" w:ascii="仿宋" w:hAnsi="仿宋" w:eastAsia="仿宋" w:cs="仿宋"/>
          <w:kern w:val="0"/>
          <w:sz w:val="32"/>
          <w:szCs w:val="32"/>
          <w:highlight w:val="none"/>
          <w:lang w:val="en-US" w:eastAsia="zh-CN" w:bidi="ar"/>
        </w:rPr>
      </w:pPr>
      <w:r>
        <w:rPr>
          <w:rFonts w:hint="eastAsia" w:ascii="仿宋" w:hAnsi="仿宋" w:eastAsia="仿宋" w:cs="Times New Roman"/>
          <w:color w:val="000000"/>
          <w:sz w:val="32"/>
          <w:szCs w:val="32"/>
          <w:highlight w:val="none"/>
        </w:rPr>
        <w:t>公开信息显示，202</w:t>
      </w:r>
      <w:r>
        <w:rPr>
          <w:rFonts w:hint="eastAsia" w:ascii="仿宋" w:hAnsi="仿宋" w:eastAsia="仿宋" w:cs="Times New Roman"/>
          <w:color w:val="000000"/>
          <w:sz w:val="32"/>
          <w:szCs w:val="32"/>
          <w:highlight w:val="none"/>
          <w:lang w:val="en-US" w:eastAsia="zh-CN"/>
        </w:rPr>
        <w:t>5</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10</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12</w:t>
      </w:r>
      <w:r>
        <w:rPr>
          <w:rFonts w:hint="eastAsia" w:ascii="仿宋" w:hAnsi="仿宋" w:eastAsia="仿宋" w:cs="Times New Roman"/>
          <w:color w:val="000000"/>
          <w:sz w:val="32"/>
          <w:szCs w:val="32"/>
          <w:highlight w:val="none"/>
        </w:rPr>
        <w:t>月，证监会及其派出机构共</w:t>
      </w:r>
      <w:r>
        <w:rPr>
          <w:rFonts w:hint="eastAsia" w:ascii="仿宋" w:hAnsi="仿宋" w:eastAsia="仿宋" w:cs="Times New Roman"/>
          <w:color w:val="000000"/>
          <w:sz w:val="32"/>
          <w:szCs w:val="32"/>
          <w:highlight w:val="none"/>
          <w:lang w:val="en-US" w:eastAsia="zh-CN"/>
        </w:rPr>
        <w:t>对涉及</w:t>
      </w:r>
      <w:r>
        <w:rPr>
          <w:rFonts w:ascii="仿宋" w:hAnsi="仿宋" w:eastAsia="仿宋" w:cs="Times New Roman"/>
          <w:color w:val="000000"/>
          <w:sz w:val="32"/>
          <w:szCs w:val="32"/>
          <w:highlight w:val="none"/>
        </w:rPr>
        <w:t>深市</w:t>
      </w:r>
      <w:r>
        <w:rPr>
          <w:rFonts w:hint="eastAsia" w:ascii="仿宋" w:hAnsi="仿宋" w:eastAsia="仿宋" w:cs="Times New Roman"/>
          <w:color w:val="000000"/>
          <w:sz w:val="32"/>
          <w:szCs w:val="32"/>
          <w:highlight w:val="none"/>
          <w:lang w:eastAsia="zh-CN"/>
        </w:rPr>
        <w:t>相关业务的</w:t>
      </w:r>
      <w:r>
        <w:rPr>
          <w:rFonts w:hint="eastAsia" w:ascii="仿宋" w:hAnsi="仿宋" w:eastAsia="仿宋" w:cs="Times New Roman"/>
          <w:color w:val="000000"/>
          <w:sz w:val="32"/>
          <w:szCs w:val="32"/>
          <w:highlight w:val="none"/>
        </w:rPr>
        <w:t>审计</w:t>
      </w:r>
      <w:r>
        <w:rPr>
          <w:rFonts w:hint="eastAsia" w:ascii="仿宋" w:hAnsi="仿宋" w:eastAsia="仿宋" w:cs="Times New Roman"/>
          <w:color w:val="000000"/>
          <w:sz w:val="32"/>
          <w:szCs w:val="32"/>
          <w:highlight w:val="none"/>
          <w:lang w:eastAsia="zh-CN"/>
        </w:rPr>
        <w:t>评估</w:t>
      </w:r>
      <w:r>
        <w:rPr>
          <w:rFonts w:hint="eastAsia" w:ascii="仿宋" w:hAnsi="仿宋" w:eastAsia="仿宋" w:cs="Times New Roman"/>
          <w:color w:val="000000"/>
          <w:sz w:val="32"/>
          <w:szCs w:val="32"/>
          <w:highlight w:val="none"/>
        </w:rPr>
        <w:t>机构</w:t>
      </w:r>
      <w:r>
        <w:rPr>
          <w:rFonts w:hint="eastAsia" w:ascii="仿宋" w:hAnsi="仿宋" w:eastAsia="仿宋" w:cs="Times New Roman"/>
          <w:color w:val="000000"/>
          <w:sz w:val="32"/>
          <w:szCs w:val="32"/>
          <w:highlight w:val="none"/>
          <w:lang w:val="en-US" w:eastAsia="zh-CN"/>
        </w:rPr>
        <w:t>作出6单行政处罚，</w:t>
      </w:r>
      <w:r>
        <w:rPr>
          <w:rFonts w:hint="eastAsia" w:ascii="仿宋" w:hAnsi="仿宋" w:eastAsia="仿宋" w:cs="Times New Roman"/>
          <w:color w:val="000000"/>
          <w:sz w:val="32"/>
          <w:szCs w:val="32"/>
          <w:highlight w:val="none"/>
        </w:rPr>
        <w:t>相关审</w:t>
      </w:r>
      <w:r>
        <w:rPr>
          <w:rFonts w:hint="eastAsia" w:ascii="仿宋" w:hAnsi="仿宋" w:eastAsia="仿宋" w:cs="仿宋"/>
          <w:kern w:val="0"/>
          <w:sz w:val="32"/>
          <w:szCs w:val="32"/>
          <w:highlight w:val="none"/>
          <w:lang w:bidi="ar"/>
        </w:rPr>
        <w:t>计</w:t>
      </w:r>
      <w:r>
        <w:rPr>
          <w:rFonts w:hint="eastAsia" w:ascii="仿宋" w:hAnsi="仿宋" w:eastAsia="仿宋" w:cs="仿宋"/>
          <w:kern w:val="0"/>
          <w:sz w:val="32"/>
          <w:szCs w:val="32"/>
          <w:highlight w:val="none"/>
          <w:lang w:eastAsia="zh-CN" w:bidi="ar"/>
        </w:rPr>
        <w:t>评估</w:t>
      </w:r>
      <w:r>
        <w:rPr>
          <w:rFonts w:hint="eastAsia" w:ascii="仿宋" w:hAnsi="仿宋" w:eastAsia="仿宋" w:cs="仿宋"/>
          <w:kern w:val="0"/>
          <w:sz w:val="32"/>
          <w:szCs w:val="32"/>
          <w:highlight w:val="none"/>
          <w:lang w:bidi="ar"/>
        </w:rPr>
        <w:t>机构执业质量问题主要表现为：</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kern w:val="0"/>
          <w:sz w:val="32"/>
          <w:szCs w:val="32"/>
          <w:highlight w:val="none"/>
          <w:lang w:eastAsia="zh-CN" w:bidi="ar"/>
        </w:rPr>
      </w:pPr>
      <w:r>
        <w:rPr>
          <w:rFonts w:hint="eastAsia" w:ascii="仿宋" w:hAnsi="仿宋" w:eastAsia="仿宋" w:cs="仿宋"/>
          <w:kern w:val="0"/>
          <w:sz w:val="32"/>
          <w:szCs w:val="32"/>
          <w:highlight w:val="none"/>
          <w:lang w:val="en-US" w:eastAsia="zh-CN" w:bidi="ar"/>
        </w:rPr>
        <w:t>1</w:t>
      </w:r>
      <w:r>
        <w:rPr>
          <w:rFonts w:hint="eastAsia" w:ascii="仿宋" w:hAnsi="仿宋" w:eastAsia="仿宋" w:cs="仿宋"/>
          <w:kern w:val="0"/>
          <w:sz w:val="32"/>
          <w:szCs w:val="32"/>
          <w:highlight w:val="none"/>
          <w:lang w:bidi="ar"/>
        </w:rPr>
        <w:t>．审计独立性严重缺失</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未客观、公正执业</w:t>
      </w:r>
      <w:r>
        <w:rPr>
          <w:rFonts w:hint="eastAsia" w:ascii="仿宋" w:hAnsi="仿宋" w:eastAsia="仿宋" w:cs="仿宋"/>
          <w:kern w:val="0"/>
          <w:sz w:val="32"/>
          <w:szCs w:val="32"/>
          <w:highlight w:val="none"/>
          <w:lang w:eastAsia="zh-CN" w:bidi="ar"/>
        </w:rPr>
        <w:t>。配合公司造假，</w:t>
      </w:r>
      <w:r>
        <w:rPr>
          <w:rFonts w:hint="eastAsia" w:ascii="仿宋" w:hAnsi="仿宋" w:eastAsia="仿宋" w:cs="仿宋"/>
          <w:kern w:val="0"/>
          <w:sz w:val="32"/>
          <w:szCs w:val="32"/>
          <w:highlight w:val="none"/>
          <w:lang w:bidi="ar"/>
        </w:rPr>
        <w:t>明知</w:t>
      </w:r>
      <w:r>
        <w:rPr>
          <w:rFonts w:hint="eastAsia" w:ascii="仿宋" w:hAnsi="仿宋" w:eastAsia="仿宋" w:cs="仿宋"/>
          <w:kern w:val="0"/>
          <w:sz w:val="32"/>
          <w:szCs w:val="32"/>
          <w:highlight w:val="none"/>
          <w:lang w:eastAsia="zh-CN" w:bidi="ar"/>
        </w:rPr>
        <w:t>公司</w:t>
      </w:r>
      <w:r>
        <w:rPr>
          <w:rFonts w:hint="eastAsia" w:ascii="仿宋" w:hAnsi="仿宋" w:eastAsia="仿宋" w:cs="仿宋"/>
          <w:kern w:val="0"/>
          <w:sz w:val="32"/>
          <w:szCs w:val="32"/>
          <w:highlight w:val="none"/>
          <w:lang w:bidi="ar"/>
        </w:rPr>
        <w:t>存在重大问题</w:t>
      </w:r>
      <w:r>
        <w:rPr>
          <w:rFonts w:hint="eastAsia" w:ascii="仿宋" w:hAnsi="仿宋" w:eastAsia="仿宋" w:cs="仿宋"/>
          <w:kern w:val="0"/>
          <w:sz w:val="32"/>
          <w:szCs w:val="32"/>
          <w:highlight w:val="none"/>
          <w:lang w:eastAsia="zh-CN" w:bidi="ar"/>
        </w:rPr>
        <w:t>且</w:t>
      </w:r>
      <w:r>
        <w:rPr>
          <w:rFonts w:hint="eastAsia" w:ascii="仿宋" w:hAnsi="仿宋" w:eastAsia="仿宋" w:cs="仿宋"/>
          <w:kern w:val="0"/>
          <w:sz w:val="32"/>
          <w:szCs w:val="32"/>
          <w:highlight w:val="none"/>
          <w:lang w:bidi="ar"/>
        </w:rPr>
        <w:t>审计执业存在重大缺陷</w:t>
      </w:r>
      <w:r>
        <w:rPr>
          <w:rFonts w:hint="eastAsia" w:ascii="仿宋" w:hAnsi="仿宋" w:eastAsia="仿宋" w:cs="仿宋"/>
          <w:kern w:val="0"/>
          <w:sz w:val="32"/>
          <w:szCs w:val="32"/>
          <w:highlight w:val="none"/>
          <w:lang w:eastAsia="zh-CN" w:bidi="ar"/>
        </w:rPr>
        <w:t>的情况下，</w:t>
      </w:r>
      <w:r>
        <w:rPr>
          <w:rFonts w:hint="eastAsia" w:ascii="仿宋" w:hAnsi="仿宋" w:eastAsia="仿宋" w:cs="仿宋"/>
          <w:kern w:val="0"/>
          <w:sz w:val="32"/>
          <w:szCs w:val="32"/>
          <w:highlight w:val="none"/>
          <w:lang w:bidi="ar"/>
        </w:rPr>
        <w:t>仍出具无保留意见的审计报告、无保留结论的其他鉴证报告</w:t>
      </w:r>
      <w:r>
        <w:rPr>
          <w:rFonts w:hint="eastAsia" w:ascii="仿宋" w:hAnsi="仿宋" w:eastAsia="仿宋" w:cs="仿宋"/>
          <w:kern w:val="0"/>
          <w:sz w:val="32"/>
          <w:szCs w:val="32"/>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Times New Roman"/>
          <w:color w:val="000000"/>
          <w:sz w:val="32"/>
          <w:szCs w:val="32"/>
          <w:highlight w:val="none"/>
          <w:lang w:val="en-US" w:eastAsia="zh-CN"/>
        </w:rPr>
        <w:t>2</w:t>
      </w:r>
      <w:r>
        <w:rPr>
          <w:rFonts w:hint="eastAsia" w:ascii="仿宋" w:hAnsi="仿宋" w:eastAsia="仿宋" w:cs="Times New Roman"/>
          <w:color w:val="000000"/>
          <w:sz w:val="32"/>
          <w:szCs w:val="32"/>
          <w:highlight w:val="none"/>
        </w:rPr>
        <w:t>．</w:t>
      </w:r>
      <w:r>
        <w:rPr>
          <w:rFonts w:hint="eastAsia" w:ascii="仿宋" w:hAnsi="仿宋" w:eastAsia="仿宋" w:cs="仿宋"/>
          <w:sz w:val="32"/>
          <w:szCs w:val="32"/>
          <w:highlight w:val="none"/>
          <w:lang w:val="en-US" w:eastAsia="zh-CN"/>
        </w:rPr>
        <w:t>风险评估、内部控制测试相关审计程序执行不到位。</w:t>
      </w:r>
      <w:r>
        <w:rPr>
          <w:rFonts w:hint="eastAsia" w:ascii="仿宋" w:hAnsi="仿宋" w:eastAsia="仿宋" w:cs="仿宋"/>
          <w:kern w:val="0"/>
          <w:sz w:val="32"/>
          <w:szCs w:val="32"/>
          <w:highlight w:val="none"/>
          <w:lang w:val="en-US" w:eastAsia="zh-CN" w:bidi="ar"/>
        </w:rPr>
        <w:t>例如，了解和评价“采购与付款循环”“生产与仓储循环”内部控制程序执行不到位，获取的审计证据不足以支持其“控制可依赖”“相关控制得到执行”的测试结论；未按照规定了解与信息技术服务业务收入确认相关的控制活动，未能恰当识别信息技术服务业务的业务模式和流程；未对收入确认等重要控制点执行控制测试等。</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Times New Roman"/>
          <w:color w:val="000000"/>
          <w:sz w:val="32"/>
          <w:szCs w:val="32"/>
          <w:highlight w:val="none"/>
          <w:lang w:val="en-US" w:eastAsia="zh-CN"/>
        </w:rPr>
        <w:t>3</w:t>
      </w:r>
      <w:r>
        <w:rPr>
          <w:rFonts w:hint="eastAsia" w:ascii="仿宋" w:hAnsi="仿宋" w:eastAsia="仿宋" w:cs="Times New Roman"/>
          <w:color w:val="000000"/>
          <w:sz w:val="32"/>
          <w:szCs w:val="32"/>
          <w:highlight w:val="none"/>
        </w:rPr>
        <w:t>．</w:t>
      </w:r>
      <w:r>
        <w:rPr>
          <w:rFonts w:hint="eastAsia" w:ascii="仿宋" w:hAnsi="仿宋" w:eastAsia="仿宋" w:cs="仿宋"/>
          <w:sz w:val="32"/>
          <w:szCs w:val="32"/>
          <w:highlight w:val="none"/>
          <w:lang w:val="en-US" w:eastAsia="zh-CN"/>
        </w:rPr>
        <w:t>对收入、应收账款等执行的相关审计程序不到位</w:t>
      </w:r>
      <w:r>
        <w:rPr>
          <w:rFonts w:hint="eastAsia" w:ascii="仿宋" w:hAnsi="仿宋" w:eastAsia="仿宋" w:cs="Times New Roman"/>
          <w:color w:val="000000"/>
          <w:sz w:val="32"/>
          <w:szCs w:val="32"/>
          <w:highlight w:val="none"/>
          <w:lang w:val="en-US" w:eastAsia="zh-CN"/>
        </w:rPr>
        <w:t>。例如，不同底稿关于同一会计主体的营业收入金额差异较大，针对底稿中相互矛盾的审计证据，未保持职业怀疑，未分析不同审计证据出现差异的原因并执行恰当的审计应对；</w:t>
      </w:r>
      <w:r>
        <w:rPr>
          <w:rFonts w:hint="eastAsia" w:ascii="仿宋" w:hAnsi="仿宋" w:eastAsia="仿宋" w:cs="仿宋"/>
          <w:kern w:val="0"/>
          <w:sz w:val="32"/>
          <w:szCs w:val="32"/>
          <w:highlight w:val="none"/>
          <w:lang w:val="en-US" w:eastAsia="zh-CN" w:bidi="ar"/>
        </w:rPr>
        <w:t>未对约定交货方式与客户访谈记录交货方式不符、客户合同回款进展与发货及验收情况不符、合同标的验收日期早于物流签收日期等异常情形执行进一步审计程序；未实施充分的审计程序应对营业收入舞弊风险；未关注应收账款回函率低等风险，且未执行替代程序；未保持职业怀疑，对影响收入确认方法的合同条款予以恰当分析判断</w:t>
      </w:r>
      <w:r>
        <w:rPr>
          <w:rFonts w:hint="eastAsia" w:ascii="仿宋" w:hAnsi="仿宋" w:eastAsia="仿宋" w:cs="仿宋"/>
          <w:sz w:val="32"/>
          <w:szCs w:val="32"/>
          <w:highlight w:val="none"/>
          <w:lang w:val="en-US" w:eastAsia="zh-CN"/>
        </w:rPr>
        <w:t>等。</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 w:hAnsi="仿宋" w:eastAsia="仿宋" w:cs="仿宋"/>
          <w:i w:val="0"/>
          <w:iCs w:val="0"/>
          <w:caps w:val="0"/>
          <w:color w:val="000000"/>
          <w:spacing w:val="0"/>
          <w:sz w:val="32"/>
          <w:szCs w:val="32"/>
          <w:highlight w:val="none"/>
        </w:rPr>
      </w:pP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w:t>
      </w:r>
      <w:r>
        <w:rPr>
          <w:rFonts w:hint="eastAsia" w:ascii="仿宋" w:hAnsi="仿宋" w:eastAsia="仿宋" w:cs="仿宋"/>
          <w:sz w:val="32"/>
          <w:szCs w:val="32"/>
          <w:highlight w:val="none"/>
          <w:lang w:val="en-US" w:eastAsia="zh-CN"/>
        </w:rPr>
        <w:t>对存货执行的相关审计程序不到位。例如，</w:t>
      </w:r>
      <w:r>
        <w:rPr>
          <w:rFonts w:hint="eastAsia" w:ascii="仿宋" w:hAnsi="仿宋" w:eastAsia="仿宋" w:cs="仿宋"/>
          <w:i w:val="0"/>
          <w:iCs w:val="0"/>
          <w:caps w:val="0"/>
          <w:color w:val="000000"/>
          <w:spacing w:val="0"/>
          <w:sz w:val="32"/>
          <w:szCs w:val="32"/>
          <w:highlight w:val="none"/>
        </w:rPr>
        <w:t>存货监盘程序</w:t>
      </w:r>
      <w:r>
        <w:rPr>
          <w:rFonts w:hint="eastAsia" w:ascii="仿宋" w:hAnsi="仿宋" w:eastAsia="仿宋" w:cs="仿宋"/>
          <w:i w:val="0"/>
          <w:iCs w:val="0"/>
          <w:caps w:val="0"/>
          <w:color w:val="000000"/>
          <w:spacing w:val="0"/>
          <w:sz w:val="32"/>
          <w:szCs w:val="32"/>
          <w:highlight w:val="none"/>
          <w:lang w:eastAsia="zh-CN"/>
        </w:rPr>
        <w:t>及</w:t>
      </w:r>
      <w:r>
        <w:rPr>
          <w:rFonts w:hint="eastAsia" w:ascii="仿宋" w:hAnsi="仿宋" w:eastAsia="仿宋" w:cs="仿宋"/>
          <w:i w:val="0"/>
          <w:iCs w:val="0"/>
          <w:caps w:val="0"/>
          <w:color w:val="000000"/>
          <w:spacing w:val="0"/>
          <w:sz w:val="32"/>
          <w:szCs w:val="32"/>
          <w:highlight w:val="none"/>
        </w:rPr>
        <w:t>存货截止</w:t>
      </w:r>
      <w:r>
        <w:rPr>
          <w:rFonts w:hint="eastAsia" w:ascii="仿宋" w:hAnsi="仿宋" w:eastAsia="仿宋" w:cs="仿宋"/>
          <w:i w:val="0"/>
          <w:iCs w:val="0"/>
          <w:caps w:val="0"/>
          <w:color w:val="000000"/>
          <w:spacing w:val="0"/>
          <w:sz w:val="32"/>
          <w:szCs w:val="32"/>
          <w:highlight w:val="none"/>
          <w:lang w:eastAsia="zh-CN"/>
        </w:rPr>
        <w:t>性</w:t>
      </w:r>
      <w:r>
        <w:rPr>
          <w:rFonts w:hint="eastAsia" w:ascii="仿宋" w:hAnsi="仿宋" w:eastAsia="仿宋" w:cs="仿宋"/>
          <w:i w:val="0"/>
          <w:iCs w:val="0"/>
          <w:caps w:val="0"/>
          <w:color w:val="000000"/>
          <w:spacing w:val="0"/>
          <w:sz w:val="32"/>
          <w:szCs w:val="32"/>
          <w:highlight w:val="none"/>
        </w:rPr>
        <w:t>测试程序执行不到位</w:t>
      </w:r>
      <w:r>
        <w:rPr>
          <w:rFonts w:hint="eastAsia" w:ascii="仿宋" w:hAnsi="仿宋" w:eastAsia="仿宋" w:cs="仿宋"/>
          <w:i w:val="0"/>
          <w:iCs w:val="0"/>
          <w:caps w:val="0"/>
          <w:color w:val="000000"/>
          <w:spacing w:val="0"/>
          <w:sz w:val="32"/>
          <w:szCs w:val="32"/>
          <w:highlight w:val="none"/>
          <w:lang w:eastAsia="zh-CN"/>
        </w:rPr>
        <w:t>；未对存货明细表中“存货-原料”表与原材料存货盘点表的品种、数量存在明显差异，以及存货明细表中原材料期初数量均与上期期末数量存在明显差异，但金额均一致的明显异常情形保持职业怀疑等</w:t>
      </w:r>
      <w:r>
        <w:rPr>
          <w:rFonts w:hint="eastAsia" w:ascii="仿宋" w:hAnsi="仿宋" w:eastAsia="仿宋" w:cs="仿宋"/>
          <w:i w:val="0"/>
          <w:iCs w:val="0"/>
          <w:caps w:val="0"/>
          <w:color w:val="000000"/>
          <w:spacing w:val="0"/>
          <w:sz w:val="32"/>
          <w:szCs w:val="32"/>
          <w:highlight w:val="none"/>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kern w:val="0"/>
          <w:sz w:val="32"/>
          <w:szCs w:val="32"/>
          <w:highlight w:val="none"/>
          <w:lang w:val="en-US" w:eastAsia="zh-CN" w:bidi="ar"/>
        </w:rPr>
      </w:pPr>
      <w:r>
        <w:rPr>
          <w:rFonts w:hint="eastAsia" w:ascii="仿宋" w:hAnsi="仿宋" w:eastAsia="仿宋" w:cs="Times New Roman"/>
          <w:color w:val="000000"/>
          <w:sz w:val="32"/>
          <w:szCs w:val="32"/>
          <w:highlight w:val="none"/>
          <w:lang w:val="en-US" w:eastAsia="zh-CN"/>
        </w:rPr>
        <w:t>5</w:t>
      </w:r>
      <w:r>
        <w:rPr>
          <w:rFonts w:hint="eastAsia" w:ascii="仿宋" w:hAnsi="仿宋" w:eastAsia="仿宋" w:cs="Times New Roman"/>
          <w:color w:val="000000"/>
          <w:sz w:val="32"/>
          <w:szCs w:val="32"/>
          <w:highlight w:val="none"/>
        </w:rPr>
        <w:t>．</w:t>
      </w:r>
      <w:r>
        <w:rPr>
          <w:rFonts w:hint="eastAsia" w:ascii="仿宋" w:hAnsi="仿宋" w:eastAsia="仿宋" w:cs="仿宋"/>
          <w:sz w:val="32"/>
          <w:szCs w:val="32"/>
          <w:highlight w:val="none"/>
          <w:lang w:val="en-US" w:eastAsia="zh-CN"/>
        </w:rPr>
        <w:t>对关联方执行的相关审计程序不到位。例如，未获取上市公司盖章确认的关联方清单；未对异常情形保持职业怀疑，未有效识别关联方等。</w:t>
      </w:r>
    </w:p>
    <w:p>
      <w:pPr>
        <w:keepNext w:val="0"/>
        <w:keepLines w:val="0"/>
        <w:pageBreakBefore w:val="0"/>
        <w:kinsoku/>
        <w:wordWrap/>
        <w:overflowPunct/>
        <w:autoSpaceDN/>
        <w:bidi w:val="0"/>
        <w:spacing w:line="560" w:lineRule="exact"/>
        <w:ind w:left="0" w:leftChars="0" w:right="0" w:firstLine="640" w:firstLineChars="200"/>
        <w:rPr>
          <w:rFonts w:hint="eastAsia" w:ascii="仿宋" w:hAnsi="仿宋" w:eastAsia="仿宋" w:cs="仿宋"/>
          <w:i w:val="0"/>
          <w:iCs w:val="0"/>
          <w:caps w:val="0"/>
          <w:spacing w:val="0"/>
          <w:kern w:val="0"/>
          <w:sz w:val="32"/>
          <w:szCs w:val="32"/>
          <w:highlight w:val="none"/>
          <w:u w:val="none"/>
          <w:lang w:bidi="ar"/>
        </w:rPr>
      </w:pPr>
      <w:r>
        <w:rPr>
          <w:rFonts w:hint="eastAsia" w:ascii="仿宋" w:hAnsi="仿宋" w:eastAsia="仿宋" w:cs="仿宋"/>
          <w:kern w:val="0"/>
          <w:sz w:val="32"/>
          <w:szCs w:val="32"/>
          <w:highlight w:val="none"/>
          <w:lang w:val="en-US" w:eastAsia="zh-CN" w:bidi="ar"/>
        </w:rPr>
        <w:t>6</w:t>
      </w:r>
      <w:r>
        <w:rPr>
          <w:rFonts w:hint="eastAsia" w:ascii="仿宋" w:hAnsi="仿宋" w:eastAsia="仿宋" w:cs="仿宋"/>
          <w:kern w:val="0"/>
          <w:sz w:val="32"/>
          <w:szCs w:val="32"/>
          <w:highlight w:val="none"/>
          <w:lang w:bidi="ar"/>
        </w:rPr>
        <w:t>．</w:t>
      </w:r>
      <w:r>
        <w:rPr>
          <w:rFonts w:hint="eastAsia" w:ascii="仿宋" w:hAnsi="仿宋" w:eastAsia="仿宋" w:cs="仿宋"/>
          <w:sz w:val="32"/>
          <w:szCs w:val="32"/>
          <w:highlight w:val="none"/>
          <w:lang w:val="en-US" w:eastAsia="zh-CN"/>
        </w:rPr>
        <w:t>对研发费用执行的相关审计程序不到位。</w:t>
      </w:r>
      <w:r>
        <w:rPr>
          <w:rFonts w:hint="eastAsia" w:ascii="仿宋" w:hAnsi="仿宋" w:eastAsia="仿宋" w:cs="仿宋"/>
          <w:kern w:val="0"/>
          <w:sz w:val="32"/>
          <w:szCs w:val="32"/>
          <w:highlight w:val="none"/>
          <w:lang w:val="en-US" w:eastAsia="zh-CN" w:bidi="ar"/>
        </w:rPr>
        <w:t>例如，未执行必要的审计程序应对研发费用舞弊风险，未对研发费用重大波动的原因获取相关审计证据；未对研发费用的真实性、准确性，以及研发领料、用料的真实性、合理性设计及实施恰当的审计程序，未获取充分、适当的审计证据；未对多个研发项目在成果鉴定或取得专利授权后仍持续支出大额研发费用的明显异常情形保持职业怀疑等。</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w:t>
      </w:r>
      <w:r>
        <w:rPr>
          <w:rFonts w:hint="eastAsia" w:ascii="仿宋" w:hAnsi="仿宋" w:eastAsia="仿宋" w:cs="Times New Roman"/>
          <w:color w:val="000000"/>
          <w:sz w:val="32"/>
          <w:szCs w:val="32"/>
          <w:highlight w:val="none"/>
          <w:lang w:val="en-US" w:eastAsia="zh-CN"/>
        </w:rPr>
        <w:t>函证、访谈程序执行不到位。</w:t>
      </w:r>
      <w:r>
        <w:rPr>
          <w:rFonts w:hint="eastAsia" w:ascii="仿宋" w:hAnsi="仿宋" w:eastAsia="仿宋" w:cs="仿宋"/>
          <w:sz w:val="32"/>
          <w:szCs w:val="32"/>
          <w:highlight w:val="none"/>
          <w:lang w:val="en-US" w:eastAsia="zh-CN"/>
        </w:rPr>
        <w:t>例如，未对函证保持控制，存在未核查发函地址、未登记并核查回函地址、未发现同一公司函证地址不同等异常、部分函证未选择适当的函证对象、部分函证交由审计对象处理、回函落款印章名称与发函对象名称不一致、回函联系人与子公司财务负责人姓名及电话号码相同等问题；存在对部分函证对象未及时发函、未收到回函时没有实际执行替代测试程序、在内部复核人员提示关注后仍未执行恰当审计程序等问题；未关注部分函证填列采购数据存在错误但仍然得到被函证方回函确认的异常情况；未针对访谈对象拒绝签字的异常情形执行进一步审计程序；未关注访谈对象身份的真实性和适当性，未对访谈保持控制等。</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8</w:t>
      </w:r>
      <w:r>
        <w:rPr>
          <w:rFonts w:hint="eastAsia" w:ascii="仿宋" w:hAnsi="仿宋" w:eastAsia="仿宋" w:cs="Times New Roman"/>
          <w:color w:val="000000"/>
          <w:sz w:val="32"/>
          <w:szCs w:val="32"/>
          <w:highlight w:val="none"/>
        </w:rPr>
        <w:t>．</w:t>
      </w:r>
      <w:r>
        <w:rPr>
          <w:rFonts w:hint="eastAsia" w:ascii="仿宋" w:hAnsi="仿宋" w:eastAsia="仿宋" w:cs="仿宋"/>
          <w:sz w:val="32"/>
          <w:szCs w:val="32"/>
          <w:highlight w:val="none"/>
          <w:lang w:val="en-US" w:eastAsia="zh-CN"/>
        </w:rPr>
        <w:t>质量控制复核程序执行不到位。例如，项目组未按照审计机构的内部规定实施复核工作；质量控制复核人未恰当关注或发现异常调整分录，未发现虚构的审计调整分录；项目组未实际解决复核提出的重要问题，质量控制复核人未对项目组是否解决复核问题予以恰当关注等。</w:t>
      </w:r>
    </w:p>
    <w:p>
      <w:pPr>
        <w:keepNext w:val="0"/>
        <w:keepLines w:val="0"/>
        <w:pageBreakBefore w:val="0"/>
        <w:widowControl/>
        <w:kinsoku/>
        <w:wordWrap/>
        <w:overflowPunct/>
        <w:topLinePunct w:val="0"/>
        <w:autoSpaceDN/>
        <w:bidi w:val="0"/>
        <w:adjustRightInd/>
        <w:snapToGrid/>
        <w:spacing w:line="560" w:lineRule="exact"/>
        <w:ind w:left="0" w:leftChars="0" w:right="0" w:rightChars="0" w:firstLine="640" w:firstLineChars="200"/>
        <w:jc w:val="both"/>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lang w:val="en-US" w:eastAsia="zh-CN"/>
        </w:rPr>
        <w:t>9</w:t>
      </w:r>
      <w:r>
        <w:rPr>
          <w:rFonts w:hint="eastAsia" w:ascii="仿宋" w:hAnsi="仿宋" w:eastAsia="仿宋" w:cs="Times New Roman"/>
          <w:color w:val="000000"/>
          <w:sz w:val="32"/>
          <w:szCs w:val="32"/>
          <w:highlight w:val="none"/>
        </w:rPr>
        <w:t>．</w:t>
      </w:r>
      <w:r>
        <w:rPr>
          <w:rFonts w:hint="eastAsia" w:ascii="仿宋" w:hAnsi="仿宋" w:eastAsia="仿宋" w:cs="Times New Roman"/>
          <w:color w:val="000000"/>
          <w:sz w:val="32"/>
          <w:szCs w:val="32"/>
          <w:highlight w:val="none"/>
          <w:lang w:eastAsia="zh-CN"/>
        </w:rPr>
        <w:t>评估程序执行不到位。例如，</w:t>
      </w:r>
      <w:r>
        <w:rPr>
          <w:rFonts w:hint="eastAsia" w:ascii="仿宋" w:hAnsi="仿宋" w:eastAsia="仿宋" w:cs="Times New Roman"/>
          <w:color w:val="000000"/>
          <w:sz w:val="32"/>
          <w:szCs w:val="32"/>
          <w:highlight w:val="none"/>
        </w:rPr>
        <w:t>对主要客户及订单核查验证工作执行不到位</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未对盈利预测的关键支撑材料进行必要的核查验证</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评估过程中未保持充分的独立性</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未记录其他权益投资价值评定估算过程</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评估结论形成日早于重要评估资料获取日</w:t>
      </w:r>
      <w:r>
        <w:rPr>
          <w:rFonts w:hint="eastAsia" w:ascii="仿宋" w:hAnsi="仿宋" w:eastAsia="仿宋" w:cs="Times New Roman"/>
          <w:color w:val="000000"/>
          <w:sz w:val="32"/>
          <w:szCs w:val="32"/>
          <w:highlight w:val="none"/>
          <w:lang w:eastAsia="zh-CN"/>
        </w:rPr>
        <w:t>等</w:t>
      </w:r>
      <w:r>
        <w:rPr>
          <w:rFonts w:hint="eastAsia" w:ascii="仿宋" w:hAnsi="仿宋" w:eastAsia="仿宋" w:cs="Times New Roman"/>
          <w:color w:val="000000"/>
          <w:sz w:val="32"/>
          <w:szCs w:val="32"/>
          <w:highlight w:val="none"/>
        </w:rPr>
        <w:t>。</w:t>
      </w:r>
    </w:p>
    <w:p>
      <w:pPr>
        <w:keepNext w:val="0"/>
        <w:keepLines w:val="0"/>
        <w:pageBreakBefore w:val="0"/>
        <w:widowControl/>
        <w:kinsoku/>
        <w:wordWrap/>
        <w:overflowPunct/>
        <w:topLinePunct w:val="0"/>
        <w:autoSpaceDN/>
        <w:bidi w:val="0"/>
        <w:adjustRightInd/>
        <w:snapToGrid/>
        <w:spacing w:line="560" w:lineRule="exact"/>
        <w:ind w:left="0" w:leftChars="0" w:right="0" w:rightChars="0" w:firstLine="640" w:firstLineChars="200"/>
        <w:jc w:val="left"/>
        <w:outlineLvl w:val="0"/>
        <w:rPr>
          <w:rFonts w:hint="eastAsia" w:ascii="黑体" w:hAnsi="黑体" w:eastAsia="黑体" w:cs="Times New Roman"/>
          <w:color w:val="000000"/>
          <w:sz w:val="32"/>
          <w:szCs w:val="32"/>
          <w:highlight w:val="none"/>
          <w:lang w:val="en-US" w:eastAsia="zh-CN"/>
        </w:rPr>
      </w:pPr>
      <w:r>
        <w:rPr>
          <w:rFonts w:hint="eastAsia" w:ascii="黑体" w:hAnsi="黑体" w:eastAsia="黑体" w:cs="Times New Roman"/>
          <w:color w:val="000000"/>
          <w:sz w:val="32"/>
          <w:szCs w:val="32"/>
          <w:highlight w:val="none"/>
          <w:lang w:val="en-US" w:eastAsia="zh-CN"/>
        </w:rPr>
        <w:t>二、审计执业问题分析</w:t>
      </w:r>
    </w:p>
    <w:p>
      <w:pPr>
        <w:keepNext w:val="0"/>
        <w:keepLines w:val="0"/>
        <w:pageBreakBefore w:val="0"/>
        <w:widowControl w:val="0"/>
        <w:suppressLineNumbers w:val="0"/>
        <w:kinsoku/>
        <w:wordWrap/>
        <w:overflowPunct/>
        <w:autoSpaceDE w:val="0"/>
        <w:autoSpaceDN/>
        <w:bidi w:val="0"/>
        <w:spacing w:beforeAutospacing="0" w:afterAutospacing="0" w:line="560" w:lineRule="exact"/>
        <w:ind w:left="0" w:leftChars="0" w:right="0" w:firstLine="640" w:firstLineChars="200"/>
        <w:jc w:val="both"/>
        <w:outlineLvl w:val="1"/>
        <w:rPr>
          <w:rFonts w:hint="default" w:ascii="楷体" w:hAnsi="楷体" w:eastAsia="楷体" w:cs="楷体"/>
          <w:b w:val="0"/>
          <w:bCs w:val="0"/>
          <w:kern w:val="2"/>
          <w:sz w:val="32"/>
          <w:szCs w:val="32"/>
          <w:lang w:val="en-US"/>
        </w:rPr>
      </w:pPr>
      <w:r>
        <w:rPr>
          <w:rFonts w:hint="eastAsia" w:ascii="楷体" w:hAnsi="楷体" w:eastAsia="楷体" w:cs="楷体"/>
          <w:kern w:val="2"/>
          <w:sz w:val="32"/>
          <w:szCs w:val="32"/>
          <w:lang w:val="en-US" w:eastAsia="zh-CN" w:bidi="ar"/>
        </w:rPr>
        <w:t>问题1：注册会计师应如何应对无法函证的情形？</w:t>
      </w:r>
    </w:p>
    <w:p>
      <w:pPr>
        <w:keepNext w:val="0"/>
        <w:keepLines w:val="0"/>
        <w:pageBreakBefore w:val="0"/>
        <w:widowControl w:val="0"/>
        <w:suppressLineNumbers w:val="0"/>
        <w:kinsoku/>
        <w:wordWrap/>
        <w:overflowPunct/>
        <w:autoSpaceDE w:val="0"/>
        <w:autoSpaceDN/>
        <w:bidi w:val="0"/>
        <w:spacing w:beforeAutospacing="0" w:afterAutospacing="0" w:line="560" w:lineRule="exact"/>
        <w:ind w:left="0" w:leftChars="0" w:right="0" w:firstLine="643" w:firstLineChars="200"/>
        <w:jc w:val="both"/>
        <w:rPr>
          <w:rFonts w:hint="eastAsia" w:ascii="仿宋" w:hAnsi="仿宋" w:eastAsia="仿宋" w:cs="仿宋"/>
          <w:kern w:val="2"/>
          <w:sz w:val="32"/>
          <w:szCs w:val="32"/>
        </w:rPr>
      </w:pPr>
      <w:r>
        <w:rPr>
          <w:rFonts w:hint="eastAsia" w:ascii="仿宋" w:hAnsi="仿宋" w:eastAsia="仿宋" w:cs="仿宋"/>
          <w:b/>
          <w:bCs w:val="0"/>
          <w:kern w:val="2"/>
          <w:sz w:val="32"/>
          <w:szCs w:val="32"/>
          <w:lang w:val="en-US" w:eastAsia="zh-CN" w:bidi="ar"/>
        </w:rPr>
        <w:t>情形：</w:t>
      </w:r>
      <w:r>
        <w:rPr>
          <w:rFonts w:hint="eastAsia" w:ascii="仿宋" w:hAnsi="仿宋" w:eastAsia="仿宋" w:cs="仿宋"/>
          <w:b w:val="0"/>
          <w:bCs/>
          <w:kern w:val="2"/>
          <w:sz w:val="32"/>
          <w:szCs w:val="32"/>
          <w:lang w:val="en-US" w:eastAsia="zh-CN" w:bidi="ar"/>
        </w:rPr>
        <w:t>上市公司G主营业务的客户主要为个人。A注册会计师</w:t>
      </w:r>
      <w:r>
        <w:rPr>
          <w:rFonts w:hint="eastAsia" w:ascii="仿宋" w:hAnsi="仿宋" w:eastAsia="仿宋" w:cs="仿宋"/>
          <w:kern w:val="2"/>
          <w:sz w:val="32"/>
          <w:szCs w:val="32"/>
          <w:lang w:val="en-US" w:eastAsia="zh-CN" w:bidi="ar"/>
        </w:rPr>
        <w:t>对该业务的客户执行函证程序时，拟通过电子函证平台发函，并根据客户的销售收入从大到小排序，计划对排名前500名的客户均执行函证程序。执行函证程序过程中，因其中60名客户未完成实名认证，无法通过电子函证平台发函，</w:t>
      </w:r>
      <w:r>
        <w:rPr>
          <w:rFonts w:hint="eastAsia" w:ascii="仿宋" w:hAnsi="仿宋" w:eastAsia="仿宋" w:cs="仿宋"/>
          <w:b w:val="0"/>
          <w:bCs/>
          <w:kern w:val="2"/>
          <w:sz w:val="32"/>
          <w:szCs w:val="32"/>
          <w:lang w:val="en-US" w:eastAsia="zh-CN" w:bidi="ar"/>
        </w:rPr>
        <w:t>A注册会计师</w:t>
      </w:r>
      <w:r>
        <w:rPr>
          <w:rFonts w:hint="eastAsia" w:ascii="仿宋" w:hAnsi="仿宋" w:eastAsia="仿宋" w:cs="仿宋"/>
          <w:kern w:val="2"/>
          <w:sz w:val="32"/>
          <w:szCs w:val="32"/>
          <w:lang w:val="en-US" w:eastAsia="zh-CN" w:bidi="ar"/>
        </w:rPr>
        <w:t>未对前述客户发函，未实施替代程序，未补充选取其他的函证样本。</w:t>
      </w:r>
    </w:p>
    <w:p>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560" w:lineRule="exact"/>
        <w:ind w:left="0" w:leftChars="0" w:right="0" w:firstLine="643" w:firstLineChars="200"/>
        <w:jc w:val="both"/>
        <w:rPr>
          <w:rFonts w:hint="default" w:ascii="仿宋" w:hAnsi="仿宋" w:eastAsia="仿宋" w:cs="仿宋"/>
          <w:b w:val="0"/>
          <w:bCs w:val="0"/>
          <w:kern w:val="2"/>
          <w:sz w:val="32"/>
          <w:szCs w:val="32"/>
          <w:lang w:val="en-US"/>
        </w:rPr>
      </w:pPr>
      <w:r>
        <w:rPr>
          <w:rFonts w:hint="eastAsia" w:ascii="仿宋" w:hAnsi="仿宋" w:eastAsia="仿宋" w:cs="仿宋"/>
          <w:b/>
          <w:bCs/>
          <w:kern w:val="2"/>
          <w:sz w:val="32"/>
          <w:szCs w:val="32"/>
          <w:lang w:val="en-US" w:eastAsia="zh-CN" w:bidi="ar"/>
        </w:rPr>
        <w:t>分析：</w:t>
      </w:r>
      <w:r>
        <w:rPr>
          <w:rFonts w:hint="eastAsia" w:ascii="仿宋" w:hAnsi="仿宋" w:eastAsia="仿宋" w:cs="仿宋"/>
          <w:b w:val="0"/>
          <w:bCs w:val="0"/>
          <w:kern w:val="2"/>
          <w:sz w:val="32"/>
          <w:szCs w:val="32"/>
          <w:lang w:val="en-US" w:eastAsia="zh-CN" w:bidi="ar"/>
        </w:rPr>
        <w:t>注册会计师应当对无法函证的情形保持关注。在上述案例中，个人客户相关的审计风险较高，A注册会计师应进一步了解个人客户未完成实名认证的具体原因，设计并执行进一步审计程序，以获取充分、适当的审计证据，进而确认相关交易的真实性及准确性。此外，注册会计师确定无法对部分客户执行函证程序后，应重新考虑所选取的样本是否足以代表总体，是否需要增加函证对象。</w:t>
      </w:r>
    </w:p>
    <w:p>
      <w:pPr>
        <w:keepNext w:val="0"/>
        <w:keepLines w:val="0"/>
        <w:pageBreakBefore w:val="0"/>
        <w:widowControl w:val="0"/>
        <w:suppressLineNumbers w:val="0"/>
        <w:kinsoku/>
        <w:wordWrap/>
        <w:overflowPunct/>
        <w:autoSpaceDE w:val="0"/>
        <w:autoSpaceDN/>
        <w:bidi w:val="0"/>
        <w:spacing w:beforeAutospacing="0" w:afterAutospacing="0" w:line="560" w:lineRule="exact"/>
        <w:ind w:left="0" w:leftChars="0" w:right="0" w:firstLine="640" w:firstLineChars="200"/>
        <w:jc w:val="both"/>
        <w:outlineLvl w:val="1"/>
        <w:rPr>
          <w:rFonts w:hint="default" w:ascii="楷体" w:hAnsi="楷体" w:eastAsia="楷体" w:cs="楷体"/>
          <w:kern w:val="2"/>
          <w:sz w:val="32"/>
          <w:szCs w:val="32"/>
          <w:lang w:val="en-US" w:eastAsia="zh-CN" w:bidi="ar"/>
        </w:rPr>
      </w:pPr>
      <w:r>
        <w:rPr>
          <w:rFonts w:hint="eastAsia" w:ascii="楷体" w:hAnsi="楷体" w:eastAsia="楷体" w:cs="楷体"/>
          <w:kern w:val="2"/>
          <w:sz w:val="32"/>
          <w:szCs w:val="32"/>
          <w:lang w:val="en-US" w:eastAsia="zh-CN" w:bidi="ar"/>
        </w:rPr>
        <w:t>问题2：注册会计师函证数据错误但回函显示相符时，是否需要执行其他程序？</w:t>
      </w:r>
    </w:p>
    <w:p>
      <w:pPr>
        <w:keepNext w:val="0"/>
        <w:keepLines w:val="0"/>
        <w:pageBreakBefore w:val="0"/>
        <w:widowControl w:val="0"/>
        <w:suppressLineNumbers w:val="0"/>
        <w:kinsoku/>
        <w:wordWrap/>
        <w:overflowPunct/>
        <w:topLinePunct/>
        <w:autoSpaceDE w:val="0"/>
        <w:autoSpaceDN/>
        <w:bidi w:val="0"/>
        <w:adjustRightInd w:val="0"/>
        <w:snapToGrid w:val="0"/>
        <w:spacing w:beforeAutospacing="0" w:afterAutospacing="0" w:line="560" w:lineRule="exact"/>
        <w:ind w:left="0" w:leftChars="0" w:right="0" w:firstLine="643" w:firstLineChars="200"/>
        <w:jc w:val="both"/>
        <w:rPr>
          <w:rFonts w:hint="eastAsia" w:ascii="仿宋" w:hAnsi="仿宋" w:eastAsia="仿宋" w:cs="仿宋"/>
          <w:kern w:val="2"/>
          <w:sz w:val="32"/>
          <w:szCs w:val="32"/>
        </w:rPr>
      </w:pPr>
      <w:r>
        <w:rPr>
          <w:rFonts w:hint="eastAsia" w:ascii="仿宋" w:hAnsi="仿宋" w:eastAsia="仿宋" w:cs="仿宋"/>
          <w:b/>
          <w:bCs/>
          <w:kern w:val="2"/>
          <w:sz w:val="32"/>
          <w:szCs w:val="32"/>
          <w:lang w:val="en-US" w:eastAsia="zh-CN" w:bidi="ar"/>
        </w:rPr>
        <w:t>情形：</w:t>
      </w:r>
      <w:r>
        <w:rPr>
          <w:rFonts w:hint="eastAsia" w:ascii="仿宋" w:hAnsi="仿宋" w:eastAsia="仿宋" w:cs="仿宋"/>
          <w:b w:val="0"/>
          <w:bCs w:val="0"/>
          <w:kern w:val="2"/>
          <w:sz w:val="32"/>
          <w:szCs w:val="32"/>
          <w:lang w:val="en-US" w:eastAsia="zh-CN" w:bidi="ar"/>
        </w:rPr>
        <w:t>B注册会计师在对上市公司H的客户函证时，因制作函证时数据填写有误，导致发出的部分函证的销售额大于收入明细中的收入发生额，其中9份收到的回函显示相符。B注册会计师认定回函有效，未执行进一步的审计程序。</w:t>
      </w:r>
    </w:p>
    <w:p>
      <w:pPr>
        <w:keepNext w:val="0"/>
        <w:keepLines w:val="0"/>
        <w:pageBreakBefore w:val="0"/>
        <w:kinsoku/>
        <w:wordWrap/>
        <w:overflowPunct/>
        <w:topLinePunct/>
        <w:autoSpaceDN/>
        <w:bidi w:val="0"/>
        <w:adjustRightInd w:val="0"/>
        <w:snapToGrid w:val="0"/>
        <w:spacing w:line="560" w:lineRule="exact"/>
        <w:ind w:left="0" w:leftChars="0" w:right="0" w:firstLine="643" w:firstLineChars="200"/>
        <w:outlineLvl w:val="9"/>
        <w:rPr>
          <w:rFonts w:hint="eastAsia" w:ascii="仿宋" w:hAnsi="仿宋" w:eastAsia="仿宋" w:cs="仿宋"/>
          <w:kern w:val="2"/>
          <w:sz w:val="32"/>
          <w:szCs w:val="32"/>
          <w:highlight w:val="none"/>
          <w:lang w:val="en-US" w:eastAsia="zh-CN" w:bidi="ar"/>
        </w:rPr>
      </w:pPr>
      <w:r>
        <w:rPr>
          <w:rFonts w:hint="eastAsia" w:ascii="仿宋" w:hAnsi="仿宋" w:eastAsia="仿宋" w:cs="仿宋"/>
          <w:b/>
          <w:bCs/>
          <w:kern w:val="2"/>
          <w:sz w:val="32"/>
          <w:szCs w:val="32"/>
          <w:lang w:val="en-US" w:eastAsia="zh-CN" w:bidi="ar"/>
        </w:rPr>
        <w:t>分析：</w:t>
      </w:r>
      <w:r>
        <w:rPr>
          <w:rFonts w:hint="eastAsia" w:ascii="仿宋" w:hAnsi="仿宋" w:eastAsia="仿宋" w:cs="仿宋"/>
          <w:kern w:val="2"/>
          <w:sz w:val="32"/>
          <w:szCs w:val="32"/>
          <w:lang w:val="en-US" w:eastAsia="zh-CN" w:bidi="ar"/>
        </w:rPr>
        <w:t>《中国注册会计师审计准则第1312号——函证》</w:t>
      </w:r>
      <w:r>
        <w:rPr>
          <w:rFonts w:hint="eastAsia" w:ascii="仿宋" w:hAnsi="仿宋" w:eastAsia="仿宋" w:cs="仿宋"/>
          <w:kern w:val="2"/>
          <w:sz w:val="32"/>
          <w:szCs w:val="32"/>
          <w:highlight w:val="none"/>
          <w:lang w:val="en-US" w:eastAsia="zh-CN" w:bidi="ar"/>
        </w:rPr>
        <w:t>第九条规定，“不符事项，是指被询证者提供的信息与询证函要求确认的信息不一致，或与被审计单位记录的信息不一致”。注册会计师在收到回函时，即使回函显示相符，也应当确认函证信息是否与被审计单位记录的信息一致。上述案例中，被询证者对与被审计单位账面记录不一致的信息确认回函相符，亦属于不符事项，注册会计师应当调查相关事项，确认不符原因。此外，上述回函的可靠性存疑，注册会计师应当结合风险评估情况，考虑串通舞弊、伪造交易的可能性，并考虑执行再次发函、走访等进一步的审计程序。</w:t>
      </w:r>
    </w:p>
    <w:p>
      <w:pPr>
        <w:keepNext w:val="0"/>
        <w:keepLines w:val="0"/>
        <w:pageBreakBefore w:val="0"/>
        <w:widowControl w:val="0"/>
        <w:suppressLineNumbers w:val="0"/>
        <w:kinsoku/>
        <w:wordWrap/>
        <w:overflowPunct/>
        <w:autoSpaceDE w:val="0"/>
        <w:autoSpaceDN/>
        <w:bidi w:val="0"/>
        <w:spacing w:beforeAutospacing="0" w:afterAutospacing="0" w:line="560" w:lineRule="exact"/>
        <w:ind w:left="0" w:leftChars="0" w:right="0" w:firstLine="640" w:firstLineChars="200"/>
        <w:jc w:val="both"/>
        <w:outlineLvl w:val="1"/>
        <w:rPr>
          <w:rFonts w:hint="default" w:ascii="楷体" w:hAnsi="楷体" w:eastAsia="楷体" w:cs="楷体"/>
          <w:kern w:val="2"/>
          <w:sz w:val="32"/>
          <w:szCs w:val="32"/>
          <w:lang w:val="en-US" w:eastAsia="zh-CN" w:bidi="ar"/>
        </w:rPr>
      </w:pPr>
      <w:r>
        <w:rPr>
          <w:rFonts w:hint="eastAsia" w:ascii="楷体" w:hAnsi="楷体" w:eastAsia="楷体" w:cs="楷体"/>
          <w:kern w:val="2"/>
          <w:sz w:val="32"/>
          <w:szCs w:val="32"/>
          <w:lang w:val="en-US" w:eastAsia="zh-CN" w:bidi="ar"/>
        </w:rPr>
        <w:t>问题3：注册会计师应如何对回函保持控制？</w:t>
      </w:r>
    </w:p>
    <w:p>
      <w:pPr>
        <w:keepNext w:val="0"/>
        <w:keepLines w:val="0"/>
        <w:pageBreakBefore w:val="0"/>
        <w:kinsoku/>
        <w:wordWrap/>
        <w:overflowPunct/>
        <w:topLinePunct/>
        <w:autoSpaceDE/>
        <w:autoSpaceDN/>
        <w:bidi w:val="0"/>
        <w:adjustRightInd w:val="0"/>
        <w:snapToGrid w:val="0"/>
        <w:spacing w:line="560" w:lineRule="exact"/>
        <w:ind w:left="0" w:leftChars="0" w:right="0" w:firstLine="643" w:firstLineChars="200"/>
        <w:textAlignment w:val="auto"/>
        <w:outlineLvl w:val="9"/>
        <w:rPr>
          <w:rFonts w:hint="eastAsia" w:ascii="仿宋" w:hAnsi="仿宋" w:eastAsia="仿宋" w:cs="仿宋"/>
          <w:sz w:val="32"/>
          <w:szCs w:val="32"/>
          <w:highlight w:val="none"/>
        </w:rPr>
      </w:pPr>
      <w:r>
        <w:rPr>
          <w:rFonts w:hint="eastAsia" w:ascii="仿宋" w:hAnsi="仿宋" w:eastAsia="仿宋" w:cs="仿宋"/>
          <w:b/>
          <w:bCs/>
          <w:kern w:val="2"/>
          <w:sz w:val="32"/>
          <w:szCs w:val="32"/>
          <w:lang w:val="en-US" w:eastAsia="zh-CN" w:bidi="ar"/>
        </w:rPr>
        <w:t>情形：</w:t>
      </w:r>
      <w:r>
        <w:rPr>
          <w:rFonts w:hint="eastAsia" w:ascii="仿宋" w:hAnsi="仿宋" w:eastAsia="仿宋" w:cs="仿宋"/>
          <w:sz w:val="32"/>
          <w:szCs w:val="32"/>
          <w:highlight w:val="none"/>
          <w:lang w:val="en-US" w:eastAsia="zh-CN"/>
        </w:rPr>
        <w:t>C注册会计师对上市公司执行审计业务时，有个别函证的回函系由被询证人寄送至上市公司，再由上市公司的财务人员转交至C注册会计师。C注册会计师在审计底稿中记录了被询证人寄送至上市公司的快递单，并认定回函有效，未执行进一步的审计程序。</w:t>
      </w:r>
    </w:p>
    <w:p>
      <w:pPr>
        <w:keepNext w:val="0"/>
        <w:keepLines w:val="0"/>
        <w:pageBreakBefore w:val="0"/>
        <w:kinsoku/>
        <w:wordWrap/>
        <w:overflowPunct/>
        <w:autoSpaceDN/>
        <w:bidi w:val="0"/>
        <w:spacing w:line="560" w:lineRule="exact"/>
        <w:ind w:left="0" w:leftChars="0" w:right="0" w:firstLine="643" w:firstLineChars="200"/>
        <w:rPr>
          <w:rFonts w:hint="default" w:ascii="仿宋" w:hAnsi="仿宋" w:eastAsia="仿宋" w:cs="仿宋"/>
          <w:kern w:val="2"/>
          <w:sz w:val="32"/>
          <w:szCs w:val="32"/>
          <w:lang w:val="en-US" w:eastAsia="zh-CN" w:bidi="ar"/>
        </w:rPr>
      </w:pPr>
      <w:r>
        <w:rPr>
          <w:rFonts w:hint="eastAsia" w:ascii="仿宋" w:hAnsi="仿宋" w:eastAsia="仿宋" w:cs="仿宋"/>
          <w:b/>
          <w:bCs/>
          <w:kern w:val="2"/>
          <w:sz w:val="32"/>
          <w:szCs w:val="32"/>
          <w:lang w:val="en-US" w:eastAsia="zh-CN" w:bidi="ar"/>
        </w:rPr>
        <w:t>分析：</w:t>
      </w:r>
      <w:r>
        <w:rPr>
          <w:rFonts w:hint="eastAsia" w:ascii="仿宋" w:hAnsi="仿宋" w:eastAsia="仿宋" w:cs="仿宋"/>
          <w:kern w:val="2"/>
          <w:sz w:val="32"/>
          <w:szCs w:val="32"/>
          <w:lang w:val="en-US" w:eastAsia="zh-CN" w:bidi="ar"/>
        </w:rPr>
        <w:t>函证应当由被询证者直接向注册会计师回复，由客户转交的函证即为无效回函。上述案例中，C注册会计师对回函的控制流于形式，未有效识别回函异常情形。C注册会计师应当认定回函无效，并执行重新发函等进一步的审计程序。</w:t>
      </w:r>
    </w:p>
    <w:p>
      <w:pPr>
        <w:keepNext w:val="0"/>
        <w:keepLines w:val="0"/>
        <w:pageBreakBefore w:val="0"/>
        <w:kinsoku/>
        <w:wordWrap/>
        <w:overflowPunct/>
        <w:autoSpaceDN/>
        <w:bidi w:val="0"/>
        <w:spacing w:line="560" w:lineRule="exact"/>
        <w:ind w:left="0" w:leftChars="0" w:right="0" w:firstLine="640" w:firstLineChars="200"/>
        <w:rPr>
          <w:rFonts w:hint="eastAsia" w:ascii="楷体" w:hAnsi="楷体" w:eastAsia="楷体" w:cs="楷体"/>
          <w:kern w:val="2"/>
          <w:sz w:val="32"/>
          <w:szCs w:val="32"/>
          <w:lang w:val="en-US" w:eastAsia="zh-CN" w:bidi="ar"/>
        </w:rPr>
      </w:pPr>
      <w:r>
        <w:rPr>
          <w:rFonts w:hint="eastAsia" w:ascii="楷体" w:hAnsi="楷体" w:eastAsia="楷体" w:cs="楷体"/>
          <w:kern w:val="2"/>
          <w:sz w:val="32"/>
          <w:szCs w:val="32"/>
          <w:lang w:val="en-US" w:eastAsia="zh-CN" w:bidi="ar"/>
        </w:rPr>
        <w:t>小结</w:t>
      </w:r>
    </w:p>
    <w:p>
      <w:pPr>
        <w:keepNext w:val="0"/>
        <w:keepLines w:val="0"/>
        <w:pageBreakBefore w:val="0"/>
        <w:kinsoku/>
        <w:wordWrap/>
        <w:overflowPunct/>
        <w:autoSpaceDN/>
        <w:bidi w:val="0"/>
        <w:spacing w:line="560" w:lineRule="exact"/>
        <w:ind w:left="0" w:leftChars="0" w:right="0" w:firstLine="640" w:firstLineChars="200"/>
        <w:rPr>
          <w:rFonts w:hint="eastAsia" w:ascii="仿宋" w:hAnsi="仿宋" w:eastAsia="仿宋" w:cs="仿宋"/>
          <w:kern w:val="2"/>
          <w:sz w:val="32"/>
          <w:szCs w:val="32"/>
          <w:lang w:val="en-US" w:eastAsia="zh-CN" w:bidi="ar"/>
        </w:rPr>
      </w:pPr>
      <w:r>
        <w:rPr>
          <w:rFonts w:hint="eastAsia" w:ascii="仿宋" w:hAnsi="仿宋" w:eastAsia="仿宋" w:cs="仿宋"/>
          <w:kern w:val="2"/>
          <w:sz w:val="32"/>
          <w:szCs w:val="32"/>
          <w:lang w:val="en-US" w:eastAsia="zh-CN" w:bidi="ar"/>
        </w:rPr>
        <w:t>函证程序是注册会计师获取外部证据的主要审计程序之一。中国证监会《监管规则适用指引——审计类2号》对注册会计师执行函证程序明确了三项监管要求：一是应当充分关注函证信息的准确性、完整性，明确函证抽样的依据及比例。二是应当对函证过程实施有效控制，如独立收发询证函，确认处理函证的人员身份及权限等。三是应当充分核查回函的可靠性，如核实快递物流信息、比对回函印章和签字等；即使回函情况较好时，也应结合风险评估情况及各类风险迹象，考虑串通舞弊、伪造交易的可能性。</w:t>
      </w:r>
    </w:p>
    <w:p>
      <w:pPr>
        <w:keepNext w:val="0"/>
        <w:keepLines w:val="0"/>
        <w:pageBreakBefore w:val="0"/>
        <w:kinsoku/>
        <w:wordWrap/>
        <w:overflowPunct/>
        <w:autoSpaceDN/>
        <w:bidi w:val="0"/>
        <w:spacing w:line="560" w:lineRule="exact"/>
        <w:ind w:left="0" w:leftChars="0" w:right="0" w:firstLine="640" w:firstLineChars="200"/>
        <w:rPr>
          <w:rFonts w:hint="default" w:ascii="仿宋" w:hAnsi="仿宋" w:eastAsia="仿宋" w:cs="仿宋"/>
          <w:kern w:val="2"/>
          <w:sz w:val="32"/>
          <w:szCs w:val="32"/>
          <w:lang w:val="en-US" w:eastAsia="zh-CN" w:bidi="ar"/>
        </w:rPr>
      </w:pPr>
      <w:r>
        <w:rPr>
          <w:rFonts w:hint="eastAsia" w:ascii="仿宋" w:hAnsi="仿宋" w:eastAsia="仿宋" w:cs="仿宋"/>
          <w:kern w:val="2"/>
          <w:sz w:val="32"/>
          <w:szCs w:val="32"/>
          <w:lang w:val="en-US" w:eastAsia="zh-CN" w:bidi="ar"/>
        </w:rPr>
        <w:t>综上，在执行函证程序时，注册会计师应当安排有足够胜任能力的人员，严格遵守《中国注册会计师审计准则第1312号——函证》及其应用指南、中国证监会《监管规则适用指引——审计类2号》等相关规定，充分关注函证信息与被审计单位账面内容是否相符，做好从发出函证到收回函证全过程的控制，对异常情形保持职业怀疑，必要时执行进一步的审计程序，以达到获取相关、可靠审计证据的目标。</w:t>
      </w:r>
    </w:p>
    <w:bookmarkEnd w:id="0"/>
    <w:bookmarkEnd w:id="1"/>
    <w:bookmarkEnd w:id="2"/>
    <w:bookmarkEnd w:id="3"/>
    <w:bookmarkEnd w:id="4"/>
    <w:bookmarkEnd w:id="5"/>
    <w:p>
      <w:pPr>
        <w:keepNext w:val="0"/>
        <w:keepLines w:val="0"/>
        <w:pageBreakBefore w:val="0"/>
        <w:kinsoku/>
        <w:wordWrap/>
        <w:overflowPunct/>
        <w:topLinePunct/>
        <w:autoSpaceDN/>
        <w:bidi w:val="0"/>
        <w:adjustRightInd w:val="0"/>
        <w:snapToGrid w:val="0"/>
        <w:spacing w:line="560" w:lineRule="exact"/>
        <w:ind w:left="0" w:leftChars="0" w:right="0" w:firstLine="640" w:firstLineChars="200"/>
        <w:outlineLvl w:val="0"/>
        <w:rPr>
          <w:rFonts w:hint="eastAsia"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t>三、典型会计案例研究</w:t>
      </w:r>
    </w:p>
    <w:p>
      <w:pPr>
        <w:keepNext w:val="0"/>
        <w:keepLines w:val="0"/>
        <w:pageBreakBefore w:val="0"/>
        <w:kinsoku/>
        <w:wordWrap/>
        <w:overflowPunct/>
        <w:autoSpaceDN/>
        <w:bidi w:val="0"/>
        <w:spacing w:line="560" w:lineRule="exact"/>
        <w:ind w:left="0" w:leftChars="0" w:right="0" w:firstLine="640" w:firstLineChars="200"/>
        <w:outlineLvl w:val="1"/>
        <w:rPr>
          <w:rFonts w:ascii="楷体" w:hAnsi="楷体" w:eastAsia="楷体" w:cs="楷体"/>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破产清算或</w:t>
      </w:r>
      <w:r>
        <w:rPr>
          <w:rFonts w:hint="eastAsia" w:ascii="楷体" w:hAnsi="楷体" w:eastAsia="楷体" w:cs="楷体"/>
          <w:sz w:val="32"/>
          <w:szCs w:val="32"/>
        </w:rPr>
        <w:t>破产重整</w:t>
      </w:r>
      <w:r>
        <w:rPr>
          <w:rFonts w:hint="default" w:ascii="楷体" w:hAnsi="楷体" w:eastAsia="楷体" w:cs="楷体"/>
          <w:sz w:val="32"/>
          <w:szCs w:val="32"/>
          <w:lang w:val="en-US"/>
        </w:rPr>
        <w:t>涉及</w:t>
      </w:r>
      <w:r>
        <w:rPr>
          <w:rFonts w:hint="eastAsia" w:ascii="楷体" w:hAnsi="楷体" w:eastAsia="楷体" w:cs="楷体"/>
          <w:sz w:val="32"/>
          <w:szCs w:val="32"/>
        </w:rPr>
        <w:t>合并范围变更相关问题</w:t>
      </w:r>
    </w:p>
    <w:p>
      <w:pPr>
        <w:keepNext w:val="0"/>
        <w:keepLines w:val="0"/>
        <w:pageBreakBefore w:val="0"/>
        <w:kinsoku/>
        <w:wordWrap/>
        <w:overflowPunct/>
        <w:autoSpaceDN/>
        <w:bidi w:val="0"/>
        <w:spacing w:line="560" w:lineRule="exact"/>
        <w:ind w:left="0" w:leftChars="0" w:right="0" w:firstLine="640" w:firstLineChars="200"/>
        <w:outlineLvl w:val="1"/>
        <w:rPr>
          <w:rFonts w:ascii="楷体" w:hAnsi="楷体" w:eastAsia="楷体" w:cs="楷体"/>
          <w:sz w:val="32"/>
          <w:szCs w:val="32"/>
        </w:rPr>
      </w:pPr>
      <w:r>
        <w:rPr>
          <w:rFonts w:hint="eastAsia" w:ascii="楷体" w:hAnsi="楷体" w:eastAsia="楷体" w:cs="楷体"/>
          <w:sz w:val="32"/>
          <w:szCs w:val="32"/>
        </w:rPr>
        <w:t>案例一：关于破产清算对子公司股权的会计处理</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1．案例及相关问题</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甲公司系A公司合并报表范围内子公司，A公司持有甲公司60%的股权</w:t>
      </w:r>
      <w:r>
        <w:rPr>
          <w:rFonts w:hint="eastAsia" w:ascii="仿宋" w:hAnsi="仿宋" w:eastAsia="仿宋" w:cs="仿宋"/>
          <w:sz w:val="32"/>
          <w:szCs w:val="32"/>
          <w:lang w:eastAsia="zh-CN"/>
        </w:rPr>
        <w:t>，并对甲公司提供大额财务资助，财务资助金额占甲公司债务比例约为</w:t>
      </w:r>
      <w:r>
        <w:rPr>
          <w:rFonts w:hint="eastAsia" w:ascii="仿宋" w:hAnsi="仿宋" w:eastAsia="仿宋" w:cs="仿宋"/>
          <w:sz w:val="32"/>
          <w:szCs w:val="32"/>
          <w:lang w:val="en-US" w:eastAsia="zh-CN"/>
        </w:rPr>
        <w:t>30%</w:t>
      </w:r>
      <w:r>
        <w:rPr>
          <w:rFonts w:hint="eastAsia" w:ascii="仿宋" w:hAnsi="仿宋" w:eastAsia="仿宋" w:cs="仿宋"/>
          <w:sz w:val="32"/>
          <w:szCs w:val="32"/>
        </w:rPr>
        <w:t>。截至20X3 年5月31日，甲公司净资产为负，已资不抵债。</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20X3年6月，甲公司因买卖合同纠纷案件，收到法院的《执行拍卖裁定》。由于财产不足清偿债务，甲公司向法院申请宣告破产。20X3年8月，甲公司收到法院的民事裁定书，法院同意受理甲公司的破产申请，并指定破产管理人负责清算事宜。管理人由有关部门人员组成的清算组担任，有管理和处分债务人财产等权利，受债权人监督。因甲公司已被破产管理人接管，相关资料已移交，A公司于20X3年8月起不再将甲公司纳入合并范围。</w:t>
      </w:r>
    </w:p>
    <w:p>
      <w:pPr>
        <w:keepNext w:val="0"/>
        <w:keepLines w:val="0"/>
        <w:pageBreakBefore w:val="0"/>
        <w:kinsoku/>
        <w:wordWrap/>
        <w:overflowPunct/>
        <w:autoSpaceDN/>
        <w:bidi w:val="0"/>
        <w:spacing w:line="560" w:lineRule="exact"/>
        <w:ind w:left="0" w:leftChars="0" w:right="0" w:firstLine="640" w:firstLineChars="200"/>
        <w:rPr>
          <w:rFonts w:ascii="楷体" w:hAnsi="楷体" w:eastAsia="楷体" w:cs="楷体"/>
          <w:sz w:val="32"/>
          <w:szCs w:val="32"/>
        </w:rPr>
      </w:pPr>
      <w:r>
        <w:rPr>
          <w:rFonts w:hint="eastAsia" w:ascii="楷体" w:hAnsi="楷体" w:eastAsia="楷体" w:cs="楷体"/>
          <w:sz w:val="32"/>
          <w:szCs w:val="32"/>
        </w:rPr>
        <w:t>问题：A公司在20X3年8月不再将甲公司纳入合并范围是否妥当，合并报表层面如何确认股权处置损益?</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2．参考意见</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根据企业会计准则，合并财务报表的合并范围应当以控制为基础予以确定。控制，是指投资方拥有对被投资方的权力,通过参与被投资方的相关活动而享有可变回报，并且有能力运用对被投资方的权力影响其回报金额。</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根据《中华人民共和国企业破产法》，管理人职责包括接管债务人的财产、印章和账簿、文书等资料，决定债务人的内部管理实务，管理和处分债务人的财产等事务。在重整期间，经债务人申请，人民法院批准，债务人可以在管理人的监督下自行管理财产和营业事务。</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本案例中，法院指定破产管理人负责清算事宜，甲公司未采取自行管理模式，已被破产管理人接管。若破产管理人实际行使财产管理和营业经营等职权，则可以认定管理人对甲公司享有实质性权力，A公司无法通过参与甲公司的相关活动而享有可变回报，丧失对甲公司的控制权。</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会计处理方面，A 公司虽丧失了对甲公司的控制权，但仍持有对甲公司的投资，应在</w:t>
      </w:r>
      <w:r>
        <w:rPr>
          <w:rFonts w:hint="eastAsia" w:ascii="仿宋" w:hAnsi="仿宋" w:eastAsia="仿宋" w:cs="仿宋"/>
          <w:sz w:val="32"/>
          <w:szCs w:val="32"/>
          <w:lang w:eastAsia="zh-CN"/>
        </w:rPr>
        <w:t>丧失控制权</w:t>
      </w:r>
      <w:r>
        <w:rPr>
          <w:rFonts w:hint="eastAsia" w:ascii="仿宋" w:hAnsi="仿宋" w:eastAsia="仿宋" w:cs="仿宋"/>
          <w:sz w:val="32"/>
          <w:szCs w:val="32"/>
        </w:rPr>
        <w:t>日充分考虑甲公司破产清算给A公司相关资产带来的损失、可能承担的额外责任，及时合理确定包括其对甲公司投资在内的全部相关资产损失及可能承担的额外责任形成的</w:t>
      </w:r>
      <w:r>
        <w:rPr>
          <w:rFonts w:hint="eastAsia" w:ascii="仿宋" w:hAnsi="仿宋" w:eastAsia="仿宋" w:cs="仿宋"/>
          <w:sz w:val="32"/>
          <w:szCs w:val="32"/>
          <w:lang w:eastAsia="zh-CN"/>
        </w:rPr>
        <w:t>预</w:t>
      </w:r>
      <w:r>
        <w:rPr>
          <w:rFonts w:hint="eastAsia" w:ascii="仿宋" w:hAnsi="仿宋" w:eastAsia="仿宋" w:cs="仿宋"/>
          <w:sz w:val="32"/>
          <w:szCs w:val="32"/>
        </w:rPr>
        <w:t>计负债，并对相关投资与资产及其合理估计的损失与预计</w:t>
      </w:r>
      <w:r>
        <w:rPr>
          <w:rFonts w:hint="eastAsia" w:ascii="仿宋" w:hAnsi="仿宋" w:eastAsia="仿宋" w:cs="仿宋"/>
          <w:sz w:val="32"/>
          <w:szCs w:val="32"/>
          <w:lang w:eastAsia="zh-CN"/>
        </w:rPr>
        <w:t>负债</w:t>
      </w:r>
      <w:r>
        <w:rPr>
          <w:rFonts w:hint="eastAsia" w:ascii="仿宋" w:hAnsi="仿宋" w:eastAsia="仿宋" w:cs="仿宋"/>
          <w:sz w:val="32"/>
          <w:szCs w:val="32"/>
        </w:rPr>
        <w:t>进行相应的会计处理。</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3．相关规则</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《企业会计准则第33号——合并财务报表（2014年修订）》</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第七条 合并财务报表的合并范围应当以控制为基础予以确定。</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控制，是指投资方拥有对被投资方的权力,通过参与被投资方的相关活动而享有可变回报，并且有能力运用对被投资方的权力影响其回报金额。</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本准则所称相关活动，是指对被投资方的回报产生重大影响的活动。被投资方的相关活动应当根据具体情况进行判断，通常包括商品或劳务的销售和购买、金融资产的管理、资产的购买和处置、研究与开发活动以及融资活动等。</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第八条 投资方应当在综合考虑所有相关事实和情况的基础上对是否控制被投资方进行判断。一旦相关事实和情况的变化导致对控制定义所涉及的相关要素发生变化的，投资方应当进行重新评估。相关事实和情况主要包括：</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（一）被投资方的设立目的。</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（二）被投资方的相关活动以及如何对相关活动作出决策。</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（三）投资方享有的权利是否使其目前有能力主导被投资方的相关活动。</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（四）投资方是否通过参与被投资方的相关活动而享有可变回报。</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（五）投资方是否有能力运用对被投资方的权力影响其回报金额。</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（六）投资方与其他方的关系。</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第十二条 仅享有保护性权利的投资方不拥有对被投资方的权力。</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保护性权利，是指仅为了保护权利持有人利益却没有赋予持有人对相关活动决策权的一项权利。保护性权利通常只能在被投资方发生根本性改变或某些例外情况发生时才能够行使，它既没有赋予其持有人对被投资方拥有权力，也不能阻止其他方对被投资方拥有权力。</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第五十条 企业因处置部分股权投资等原因丧失了对被投资方的控制权的，在编制合并财务报表时，对于剩余股权，应当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p>
    <w:p>
      <w:pPr>
        <w:keepNext w:val="0"/>
        <w:keepLines w:val="0"/>
        <w:pageBreakBefore w:val="0"/>
        <w:kinsoku/>
        <w:wordWrap/>
        <w:overflowPunct/>
        <w:autoSpaceDN/>
        <w:bidi w:val="0"/>
        <w:spacing w:line="560" w:lineRule="exact"/>
        <w:ind w:left="0" w:leftChars="0" w:right="0" w:firstLine="640" w:firstLineChars="200"/>
        <w:outlineLvl w:val="1"/>
        <w:rPr>
          <w:rFonts w:ascii="楷体" w:hAnsi="楷体" w:eastAsia="楷体" w:cs="楷体"/>
          <w:sz w:val="32"/>
          <w:szCs w:val="32"/>
        </w:rPr>
      </w:pPr>
      <w:r>
        <w:rPr>
          <w:rFonts w:hint="eastAsia" w:ascii="楷体" w:hAnsi="楷体" w:eastAsia="楷体" w:cs="楷体"/>
          <w:sz w:val="32"/>
          <w:szCs w:val="32"/>
        </w:rPr>
        <w:t>案例二：关于境外子公司</w:t>
      </w:r>
      <w:r>
        <w:rPr>
          <w:rFonts w:hint="eastAsia" w:ascii="楷体" w:hAnsi="楷体" w:eastAsia="楷体" w:cs="楷体"/>
          <w:sz w:val="32"/>
          <w:szCs w:val="32"/>
          <w:lang w:eastAsia="zh-CN"/>
        </w:rPr>
        <w:t>进入</w:t>
      </w:r>
      <w:r>
        <w:rPr>
          <w:rFonts w:hint="eastAsia" w:ascii="楷体" w:hAnsi="楷体" w:eastAsia="楷体" w:cs="楷体"/>
          <w:sz w:val="32"/>
          <w:szCs w:val="32"/>
        </w:rPr>
        <w:t>破产</w:t>
      </w:r>
      <w:r>
        <w:rPr>
          <w:rFonts w:hint="eastAsia" w:ascii="楷体" w:hAnsi="楷体" w:eastAsia="楷体" w:cs="楷体"/>
          <w:sz w:val="32"/>
          <w:szCs w:val="32"/>
          <w:lang w:eastAsia="zh-CN"/>
        </w:rPr>
        <w:t>和解程序</w:t>
      </w:r>
      <w:r>
        <w:rPr>
          <w:rFonts w:hint="eastAsia" w:ascii="楷体" w:hAnsi="楷体" w:eastAsia="楷体" w:cs="楷体"/>
          <w:sz w:val="32"/>
          <w:szCs w:val="32"/>
        </w:rPr>
        <w:t>的会计处理</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1．案例及相关问题</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B公司直接及间接持有乙公司30%股权，纳入合并报表范围。乙公司注册地及主要经营地在境外，年收入约为2亿欧元。</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因乙公司净资产为负，无法清偿到期债务，且增资事项未能如期实施，根据当地破产法典，乙公司向当地法院提起债权人和解程序。该债权人和解程序是当地公司在当地法院监督下的庭内程序，由债务人向法院提出申请，并在法定期限内提交</w:t>
      </w:r>
      <w:r>
        <w:rPr>
          <w:rFonts w:hint="eastAsia" w:ascii="仿宋" w:hAnsi="仿宋" w:eastAsia="仿宋" w:cs="仿宋"/>
          <w:sz w:val="32"/>
          <w:szCs w:val="32"/>
          <w:lang w:eastAsia="zh-CN"/>
        </w:rPr>
        <w:t>投资人引入</w:t>
      </w:r>
      <w:r>
        <w:rPr>
          <w:rFonts w:hint="eastAsia" w:ascii="仿宋" w:hAnsi="仿宋" w:eastAsia="仿宋" w:cs="仿宋"/>
          <w:sz w:val="32"/>
          <w:szCs w:val="32"/>
        </w:rPr>
        <w:t>计划、债权人清偿方案等文件，由债权人表决通过清偿方案并经法院批准执行，使得债务人能够在法律保护下维持正常运营，通过引入投资人、与债权人达成和解等方式缓解资金紧张情况和债务压力，否则债权人等其他方有权向法院提起破产清算申请。</w:t>
      </w:r>
    </w:p>
    <w:p>
      <w:pPr>
        <w:keepNext w:val="0"/>
        <w:keepLines w:val="0"/>
        <w:pageBreakBefore w:val="0"/>
        <w:kinsoku/>
        <w:wordWrap/>
        <w:overflowPunct/>
        <w:autoSpaceDN/>
        <w:bidi w:val="0"/>
        <w:spacing w:line="560" w:lineRule="exact"/>
        <w:ind w:left="0" w:leftChars="0" w:right="0" w:firstLine="640" w:firstLineChars="200"/>
        <w:rPr>
          <w:rFonts w:hint="eastAsia" w:ascii="仿宋" w:hAnsi="仿宋" w:eastAsia="仿宋" w:cs="仿宋"/>
          <w:sz w:val="32"/>
          <w:szCs w:val="32"/>
        </w:rPr>
      </w:pPr>
      <w:r>
        <w:rPr>
          <w:rFonts w:hint="eastAsia" w:ascii="仿宋" w:hAnsi="仿宋" w:eastAsia="仿宋" w:cs="仿宋"/>
          <w:sz w:val="32"/>
          <w:szCs w:val="32"/>
        </w:rPr>
        <w:t>20X4年12月，乙公司收到法院同意裁定，法院指派三名司法专员全面监督和审批乙公司在债权人和解程序下的各类重大事项，包括重要经营管理、资产处置行为，例如变更核心客户合同、终止现有合同、超过2万欧元的合同修改和签署、超过2万欧元的支出、贷款融资、资产出售、质押担保、开展新业务等。</w:t>
      </w:r>
    </w:p>
    <w:p>
      <w:pPr>
        <w:keepNext w:val="0"/>
        <w:keepLines w:val="0"/>
        <w:pageBreakBefore w:val="0"/>
        <w:kinsoku/>
        <w:wordWrap/>
        <w:overflowPunct/>
        <w:autoSpaceDN/>
        <w:bidi w:val="0"/>
        <w:spacing w:line="560" w:lineRule="exact"/>
        <w:ind w:left="0" w:leftChars="0" w:right="0"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次年</w:t>
      </w:r>
      <w:r>
        <w:rPr>
          <w:rFonts w:hint="eastAsia" w:ascii="仿宋" w:hAnsi="仿宋" w:eastAsia="仿宋" w:cs="仿宋"/>
          <w:sz w:val="32"/>
          <w:szCs w:val="32"/>
          <w:lang w:val="en-US" w:eastAsia="zh-CN"/>
        </w:rPr>
        <w:t>7月，乙公司提交的</w:t>
      </w:r>
      <w:r>
        <w:rPr>
          <w:rFonts w:hint="eastAsia" w:ascii="仿宋" w:hAnsi="仿宋" w:eastAsia="仿宋" w:cs="仿宋"/>
          <w:sz w:val="32"/>
          <w:szCs w:val="32"/>
          <w:lang w:eastAsia="zh-CN"/>
        </w:rPr>
        <w:t>投资人引入计划获法院批准，乙公司陆续完成向投资人转让及交割资产和业务的工作，投资人向乙公司支付款项用于偿还债务，其后乙公司进入清算程序。</w:t>
      </w:r>
    </w:p>
    <w:p>
      <w:pPr>
        <w:keepNext w:val="0"/>
        <w:keepLines w:val="0"/>
        <w:pageBreakBefore w:val="0"/>
        <w:kinsoku/>
        <w:wordWrap/>
        <w:overflowPunct/>
        <w:autoSpaceDN/>
        <w:bidi w:val="0"/>
        <w:spacing w:line="560" w:lineRule="exact"/>
        <w:ind w:left="0" w:leftChars="0" w:right="0" w:firstLine="640" w:firstLineChars="200"/>
        <w:rPr>
          <w:rFonts w:ascii="楷体" w:hAnsi="楷体" w:eastAsia="楷体" w:cs="楷体"/>
          <w:sz w:val="32"/>
          <w:szCs w:val="32"/>
        </w:rPr>
      </w:pPr>
      <w:r>
        <w:rPr>
          <w:rFonts w:hint="eastAsia" w:ascii="楷体" w:hAnsi="楷体" w:eastAsia="楷体" w:cs="楷体"/>
          <w:sz w:val="32"/>
          <w:szCs w:val="32"/>
        </w:rPr>
        <w:t>问题：20X4年末，B公司对乙公司是否丧失控制权？</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2．参考意见</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根据企业会计准则，合并财务报表的合并范围应当以控制为基础予以确定。控制，是指投资方拥有对被投资方的权力，通过参与被投资方的相关活动而享有可变回报，并且有能力运用对被投资方的权力影响其回报金额。相关活动，是指对被投资方的回报产生重大影响的活动。</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本案例中，判断B公司对乙公司是否丧失控制权，需要结合境外相关法规判断，在债权人和解程序中，B公司对乙公司的控制基础是否发生变化。例如，B公司对乙公司相关活动是否仍然具有决策权，司法专员对乙公司各类重大事项的审批是实质性权利还是保护性权利，B公司能否通过参与乙公司相关活动而获得可变回报。与正常经营公司相比，乙公司在债权人和解程序下的相关活动决策机制具有特殊性，需要结合境外法规和司法判例进行分析研判，必要时咨询专家意见。</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3．相关规则</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同案例一。</w:t>
      </w:r>
    </w:p>
    <w:p>
      <w:pPr>
        <w:keepNext w:val="0"/>
        <w:keepLines w:val="0"/>
        <w:pageBreakBefore w:val="0"/>
        <w:kinsoku/>
        <w:wordWrap/>
        <w:overflowPunct/>
        <w:topLinePunct/>
        <w:autoSpaceDN/>
        <w:bidi w:val="0"/>
        <w:spacing w:line="560" w:lineRule="exact"/>
        <w:ind w:left="0" w:leftChars="0" w:right="0" w:firstLine="640" w:firstLineChars="200"/>
        <w:outlineLvl w:val="1"/>
      </w:pPr>
      <w:r>
        <w:rPr>
          <w:rFonts w:hint="eastAsia" w:ascii="楷体" w:hAnsi="楷体" w:eastAsia="楷体" w:cs="楷体"/>
          <w:sz w:val="32"/>
          <w:szCs w:val="32"/>
        </w:rPr>
        <w:t>小结</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《关于进一步提高上市公司质量的意见》提出，支持上市公司通过破产重整等方式出清风险。破产重整是化解上市公司风险、提高上市公司质量的重要途径。</w:t>
      </w:r>
      <w:r>
        <w:rPr>
          <w:rFonts w:hint="eastAsia" w:ascii="仿宋" w:hAnsi="仿宋" w:eastAsia="仿宋" w:cs="仿宋"/>
          <w:sz w:val="32"/>
          <w:szCs w:val="32"/>
          <w:lang w:eastAsia="zh-CN"/>
        </w:rPr>
        <w:t>当上市公司子公司进入破产程序后，就会面临</w:t>
      </w:r>
      <w:r>
        <w:rPr>
          <w:rFonts w:hint="eastAsia" w:ascii="仿宋" w:hAnsi="仿宋" w:eastAsia="仿宋" w:cs="仿宋"/>
          <w:sz w:val="32"/>
          <w:szCs w:val="32"/>
        </w:rPr>
        <w:t>破产清算子公司是否出表的问题</w:t>
      </w:r>
      <w:r>
        <w:rPr>
          <w:rFonts w:hint="eastAsia" w:ascii="仿宋" w:hAnsi="仿宋" w:eastAsia="仿宋" w:cs="仿宋"/>
          <w:sz w:val="32"/>
          <w:szCs w:val="32"/>
          <w:lang w:eastAsia="zh-CN"/>
        </w:rPr>
        <w:t>。本组案例</w:t>
      </w:r>
      <w:r>
        <w:rPr>
          <w:rFonts w:hint="eastAsia" w:ascii="仿宋" w:hAnsi="仿宋" w:eastAsia="仿宋" w:cs="仿宋"/>
          <w:sz w:val="32"/>
          <w:szCs w:val="32"/>
        </w:rPr>
        <w:t>在境内和境外两个情景下进行讨论，重点关注破产清算阶段，母公司能否通过参与子公司的相关活动而享有可变回报，进而判断是否构成控制。</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破产清算通常在既有的法律框架下进行，需要遵守相关法律法规规定，破产清算主体相关活动和决策机制可能与正常经营公司不同，因此，需要结合具体情况来分析控制基础是否发生变化。</w:t>
      </w:r>
    </w:p>
    <w:p>
      <w:pPr>
        <w:keepNext w:val="0"/>
        <w:keepLines w:val="0"/>
        <w:pageBreakBefore w:val="0"/>
        <w:widowControl/>
        <w:kinsoku/>
        <w:wordWrap/>
        <w:overflowPunct/>
        <w:autoSpaceDN/>
        <w:bidi w:val="0"/>
        <w:spacing w:line="560" w:lineRule="exact"/>
        <w:ind w:left="0" w:leftChars="0" w:right="0" w:firstLine="640" w:firstLineChars="200"/>
        <w:jc w:val="left"/>
      </w:pPr>
      <w:r>
        <w:rPr>
          <w:rFonts w:hint="eastAsia" w:ascii="仿宋" w:hAnsi="仿宋" w:eastAsia="仿宋" w:cs="仿宋"/>
          <w:sz w:val="32"/>
          <w:szCs w:val="32"/>
          <w:lang w:bidi="zh-CN"/>
        </w:rPr>
        <w:t>注册会计师应当关注相关法律法规规定，对于破产清算主体位于境外的，关注境外法规与境内的差异，必要时利用专家工作；利用专家工作时要评价专家的胜任能力、专业素质和客观性，关注专家工作结果的相关性、合理性，以及与其他审计证据的一致性。</w:t>
      </w:r>
    </w:p>
    <w:p>
      <w:pPr>
        <w:keepNext w:val="0"/>
        <w:keepLines w:val="0"/>
        <w:pageBreakBefore w:val="0"/>
        <w:kinsoku/>
        <w:wordWrap/>
        <w:overflowPunct/>
        <w:autoSpaceDN/>
        <w:bidi w:val="0"/>
        <w:spacing w:line="560" w:lineRule="exact"/>
        <w:ind w:left="0" w:leftChars="0" w:right="0" w:firstLine="640" w:firstLineChars="200"/>
        <w:outlineLvl w:val="1"/>
        <w:rPr>
          <w:rFonts w:ascii="楷体" w:hAnsi="楷体" w:eastAsia="楷体" w:cs="楷体"/>
          <w:sz w:val="32"/>
          <w:szCs w:val="32"/>
        </w:rPr>
      </w:pPr>
      <w:r>
        <w:rPr>
          <w:rFonts w:hint="eastAsia" w:ascii="楷体" w:hAnsi="楷体" w:eastAsia="楷体" w:cs="楷体"/>
          <w:sz w:val="32"/>
          <w:szCs w:val="32"/>
        </w:rPr>
        <w:t>（二）商誉资产组相关问题</w:t>
      </w:r>
    </w:p>
    <w:p>
      <w:pPr>
        <w:keepNext w:val="0"/>
        <w:keepLines w:val="0"/>
        <w:pageBreakBefore w:val="0"/>
        <w:kinsoku/>
        <w:wordWrap/>
        <w:overflowPunct/>
        <w:autoSpaceDN/>
        <w:bidi w:val="0"/>
        <w:spacing w:line="560" w:lineRule="exact"/>
        <w:ind w:left="0" w:leftChars="0" w:right="0" w:firstLine="640" w:firstLineChars="200"/>
        <w:outlineLvl w:val="1"/>
        <w:rPr>
          <w:rFonts w:ascii="楷体" w:hAnsi="楷体" w:eastAsia="楷体" w:cs="楷体"/>
          <w:sz w:val="32"/>
          <w:szCs w:val="32"/>
        </w:rPr>
      </w:pPr>
      <w:r>
        <w:rPr>
          <w:rFonts w:hint="eastAsia" w:ascii="楷体" w:hAnsi="楷体" w:eastAsia="楷体" w:cs="楷体"/>
          <w:sz w:val="32"/>
          <w:szCs w:val="32"/>
        </w:rPr>
        <w:t>案例三：关于收购后新增生产线的商誉资产组划分问题</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1．案例及相关问题</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丙公司主营业务为某汽车零配件的生产与销售，C公司于20X4年1月收购丙公司100%股权，形成商誉5000万元。在购买日，C公司将丙公司整体作为一个与商誉相关的资产组。</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20X4年3月，C公司吸收合并丙公司，承接丙公司原有的汽车零配件业务，在母公司层面确认相关商誉，丙公司随即完成法人资格注销。20X4年8月，C公司以自有资金另购建1条生产线，为该汽车零配件业务提供配套加工服务。</w:t>
      </w:r>
    </w:p>
    <w:p>
      <w:pPr>
        <w:keepNext w:val="0"/>
        <w:keepLines w:val="0"/>
        <w:pageBreakBefore w:val="0"/>
        <w:kinsoku/>
        <w:wordWrap/>
        <w:overflowPunct/>
        <w:autoSpaceDN/>
        <w:bidi w:val="0"/>
        <w:spacing w:line="560" w:lineRule="exact"/>
        <w:ind w:left="0" w:leftChars="0" w:right="0" w:firstLine="640" w:firstLineChars="200"/>
        <w:rPr>
          <w:rFonts w:ascii="楷体" w:hAnsi="楷体" w:eastAsia="楷体" w:cs="楷体"/>
          <w:sz w:val="32"/>
          <w:szCs w:val="32"/>
        </w:rPr>
      </w:pPr>
      <w:r>
        <w:rPr>
          <w:rFonts w:hint="eastAsia" w:ascii="楷体" w:hAnsi="楷体" w:eastAsia="楷体" w:cs="楷体"/>
          <w:sz w:val="32"/>
          <w:szCs w:val="32"/>
        </w:rPr>
        <w:t>问题：2024年末，C公司对原丙公司资产组进行商誉减值测试时应如何考虑上述新建生产线?</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2．参考意见</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sz w:val="32"/>
          <w:szCs w:val="20"/>
        </w:rPr>
        <w:t>根据企业会计准则，</w:t>
      </w:r>
      <w:r>
        <w:rPr>
          <w:rFonts w:hint="eastAsia" w:ascii="仿宋" w:hAnsi="仿宋" w:eastAsia="仿宋" w:cs="仿宋"/>
          <w:sz w:val="32"/>
          <w:szCs w:val="32"/>
        </w:rPr>
        <w:t>商誉应当结合与其相关的资产组或者资产组组合进行减值测试。相关的资产组或者资产组组合应当是能够从企业合并的协同效应中受益的资产组或者资产组组合。企业因重组等原因改变其报告结构，从而影响到已分摊商誉的一个或者若干个资产组或者资产组组合构成的，应当将商誉重新分摊至受影响的资产组。资产组的认定，应当以资产组产生的主要现金流入是否独立于其他资产或者资产组的现金流入为依据。</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本案例中，首先判断新建生产线是否单独构成一项资产组。如果该条生产线可以独立于其他资产或者资产组独立产生现金流入，在符合其他条件的基础上，应将新建生产线认定为资产组。案例中，新建生产线为汽车零配件业务提供配套加工服务，若该配套加工服务可以在市场上单独销售或采购，则表明其存在活跃市场，能够独立产生现金流入；如不能在市场上单独销售或采购，需要依赖于汽车零配件产品协同产生现金流入，则该生产线不能单独构成一项资产组。</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其次，需判断商誉减值测试时是否需要分摊商誉。</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如果新建生产线单独构成资产组，应分析该资产组是否属于购买日预期能够从企业合并的协同效应中受益的资产组。若合并对价已考虑未来建设该生产线产生的协同效应相关收益，且后续按照原有计划建设生产线，则将商誉重新分摊至生产线以及原有汽车零配件业务两项资产组进行减值测试；若该生产线系收购后根据新的经营计划兴建，确定合并对价时未考虑该生产线预计未来现金流，则不应分摊商誉。</w:t>
      </w:r>
    </w:p>
    <w:p>
      <w:pPr>
        <w:keepNext w:val="0"/>
        <w:keepLines w:val="0"/>
        <w:pageBreakBefore w:val="0"/>
        <w:kinsoku/>
        <w:wordWrap/>
        <w:overflowPunct/>
        <w:autoSpaceDN/>
        <w:bidi w:val="0"/>
        <w:spacing w:line="560" w:lineRule="exact"/>
        <w:ind w:left="0" w:leftChars="0" w:right="0" w:firstLine="640" w:firstLineChars="200"/>
      </w:pPr>
      <w:r>
        <w:rPr>
          <w:rFonts w:hint="eastAsia" w:ascii="仿宋" w:hAnsi="仿宋" w:eastAsia="仿宋" w:cs="仿宋"/>
          <w:sz w:val="32"/>
          <w:szCs w:val="32"/>
        </w:rPr>
        <w:t>如果新建生产线不构成资产组，则该新建仅为资产组内部资产的增加，不涉及资产组的变更，也不涉及商誉的分摊，资产组的账面价值的确定方式应与其可收回金额的确定方式保持一致。丙公司可以将生产线纳入原资产组，相应增加其资产组原有账面价值和可收回金额，以此进行减值测试。</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3．相关规则</w:t>
      </w:r>
    </w:p>
    <w:p>
      <w:pPr>
        <w:keepNext w:val="0"/>
        <w:keepLines w:val="0"/>
        <w:pageBreakBefore w:val="0"/>
        <w:kinsoku/>
        <w:wordWrap/>
        <w:overflowPunct/>
        <w:autoSpaceDN/>
        <w:bidi w:val="0"/>
        <w:spacing w:line="560" w:lineRule="exact"/>
        <w:ind w:left="0" w:leftChars="0" w:right="0" w:firstLine="640" w:firstLineChars="200"/>
      </w:pPr>
      <w:r>
        <w:rPr>
          <w:rFonts w:hint="eastAsia" w:ascii="仿宋" w:hAnsi="仿宋" w:eastAsia="仿宋" w:cs="仿宋"/>
          <w:sz w:val="32"/>
          <w:szCs w:val="32"/>
        </w:rPr>
        <w:t>《企业会计准则第8号——资产减值》</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第二条 资产减值，是指资产的可收回金额低于其账面价值。</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本准则中的资产，除了特别规定外，包括单项资产和资产组。</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资产组，是指企业可以认定的最小资产组合，其产生的现金流入应当基本上独立于其他资产或者资产组产生的现金流入。</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第十八条 有迹象表明一项资产可能发生减值的，企业应当以单项资产为基础估计其可收回金额。企业难以对单项资产的可收回金额进行估计的，应当以该资产所属的资产组为基础确定资产组的可收回金额。</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资产组的认定，应当以资产组产生的主要现金流入是否独立于其他资产或者资产组的现金流入为依据。同时，在认定资产组时，应当考虑企业管理层管理生产经营活动的方式（如是按照生产线、业务种类还是按照地区或者区域等）和对资产的持续使用或者处置的决策方式等。</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几项资产的组合生产的产品（或者其他产出）存在活跃市场的，即使部分或者所有这些产品（或者其他产出）均供内部使用，也应当在符合前款规定的情况下，将这几项资产的组合认定为一个资产组。</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如果该资产组的现金流入受内部转移价格的影响，应当按照企业管理层在公平交易中对未来价格的最佳估计数来确定资产组的未来现金流量。</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资产组一经确定，各个会计期间应当保持一致，不得随意变更。</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如需变更，企业管理层应当证明该变更是合理的，并根据本准则第二十七条的规定在附注中作相应说明。</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第二十三条 企业合并所形成的商誉，至少应当在每年年度终了进行减值测试。商誉应当结合与其相关的资产组或者资产组组合进行减值测试。</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相关的资产组或者资产组组合应当是能够从企业合并的协同效应中受益的资产组或者资产组组合，不应当大于按照《企业会计准则第35号——分部报告》所确定的报告分部。</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第二十四条 企业进行资产减值测试，对于因企业合并形成的商誉的账面价值，应当自购买日起按照合理的方法分摊至相关的资产组；难以分摊至相关的资产组的，应当将其分摊至相关的资产组组合。</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在将商誉的账面价值分摊至相关的资产组或者资产组组合时，应当按照各资产组或者资产组组合的公允价值占相关资产组或者资产组组合公允价值总额的比例进行分摊。公允价值难以可靠计量的，按照各资产组或者资产组组合的账面价值占相关资产组或者资产组组合账面价值总额的比例进行分摊。</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企业因重组等原因改变了其报告结构，从而影响到已分摊商誉的一个或者若干个资产组或者资产组组合构成的，应当按照与本条前款规定相似的分摊方法，将商誉重新分摊至受影响的资产组或者资产组组合。</w:t>
      </w:r>
    </w:p>
    <w:p>
      <w:pPr>
        <w:keepNext w:val="0"/>
        <w:keepLines w:val="0"/>
        <w:pageBreakBefore w:val="0"/>
        <w:kinsoku/>
        <w:wordWrap/>
        <w:overflowPunct/>
        <w:autoSpaceDN/>
        <w:bidi w:val="0"/>
        <w:spacing w:line="560" w:lineRule="exact"/>
        <w:ind w:left="0" w:leftChars="0" w:right="0" w:firstLine="640" w:firstLineChars="200"/>
        <w:outlineLvl w:val="1"/>
        <w:rPr>
          <w:rFonts w:ascii="楷体" w:hAnsi="楷体" w:eastAsia="楷体" w:cs="楷体"/>
          <w:sz w:val="32"/>
          <w:szCs w:val="32"/>
        </w:rPr>
      </w:pPr>
      <w:r>
        <w:rPr>
          <w:rFonts w:hint="eastAsia" w:ascii="楷体" w:hAnsi="楷体" w:eastAsia="楷体" w:cs="楷体"/>
          <w:sz w:val="32"/>
          <w:szCs w:val="32"/>
        </w:rPr>
        <w:t>案例四：关于变更业务实施主体的资产组认定问题</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1．案例及相关问题</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20X0年，D公司收购丁公司75%股权，交易形成商誉1亿元，D公司将丁公司整体认定为一个资产组。丁公司主营跨境电商业务</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D公司溢价收购主要考虑丁公司具有较强的产品开发能力、供应链管控能力和品牌认可度</w:t>
      </w:r>
      <w:r>
        <w:rPr>
          <w:rFonts w:hint="eastAsia" w:ascii="仿宋" w:hAnsi="仿宋" w:eastAsia="仿宋" w:cs="仿宋"/>
          <w:sz w:val="32"/>
          <w:szCs w:val="32"/>
        </w:rPr>
        <w:t>。20X4年，受</w:t>
      </w:r>
      <w:r>
        <w:rPr>
          <w:rFonts w:hint="eastAsia" w:ascii="仿宋" w:hAnsi="仿宋" w:eastAsia="仿宋" w:cs="仿宋"/>
          <w:sz w:val="32"/>
          <w:szCs w:val="32"/>
          <w:lang w:eastAsia="zh-CN"/>
        </w:rPr>
        <w:t>境外市场环境变化</w:t>
      </w:r>
      <w:r>
        <w:rPr>
          <w:rFonts w:hint="eastAsia" w:ascii="仿宋" w:hAnsi="仿宋" w:eastAsia="仿宋" w:cs="仿宋"/>
          <w:sz w:val="32"/>
          <w:szCs w:val="32"/>
        </w:rPr>
        <w:t>等影响，产品销售停滞，丁公司原核心管理团队陆续退出公司经营。</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为延续丁公司原有业务，D公司新设戊公司，</w:t>
      </w:r>
      <w:r>
        <w:rPr>
          <w:rFonts w:ascii="仿宋" w:hAnsi="仿宋" w:eastAsia="仿宋" w:cs="仿宋"/>
          <w:sz w:val="32"/>
          <w:szCs w:val="32"/>
        </w:rPr>
        <w:t>承接</w:t>
      </w:r>
      <w:r>
        <w:rPr>
          <w:rFonts w:hint="eastAsia" w:ascii="仿宋" w:hAnsi="仿宋" w:eastAsia="仿宋" w:cs="仿宋"/>
          <w:sz w:val="32"/>
          <w:szCs w:val="32"/>
        </w:rPr>
        <w:t>丁</w:t>
      </w:r>
      <w:r>
        <w:rPr>
          <w:rFonts w:ascii="仿宋" w:hAnsi="仿宋" w:eastAsia="仿宋" w:cs="仿宋"/>
          <w:sz w:val="32"/>
          <w:szCs w:val="32"/>
        </w:rPr>
        <w:t>公司</w:t>
      </w:r>
      <w:r>
        <w:rPr>
          <w:rFonts w:hint="eastAsia" w:ascii="仿宋" w:hAnsi="仿宋" w:eastAsia="仿宋" w:cs="仿宋"/>
          <w:sz w:val="32"/>
          <w:szCs w:val="32"/>
          <w:lang w:eastAsia="zh-CN"/>
        </w:rPr>
        <w:t>主要固定资产、租赁房产及</w:t>
      </w:r>
      <w:r>
        <w:rPr>
          <w:rFonts w:ascii="仿宋" w:hAnsi="仿宋" w:eastAsia="仿宋" w:cs="仿宋"/>
          <w:sz w:val="32"/>
          <w:szCs w:val="32"/>
        </w:rPr>
        <w:t>员工</w:t>
      </w:r>
      <w:r>
        <w:rPr>
          <w:rFonts w:hint="eastAsia" w:ascii="仿宋" w:hAnsi="仿宋" w:eastAsia="仿宋" w:cs="仿宋"/>
          <w:sz w:val="32"/>
          <w:szCs w:val="32"/>
        </w:rPr>
        <w:t>，但未使用丁公司原有线上店铺、线上品牌</w:t>
      </w:r>
      <w:r>
        <w:rPr>
          <w:rFonts w:hint="eastAsia" w:ascii="仿宋" w:hAnsi="仿宋" w:eastAsia="仿宋" w:cs="仿宋"/>
          <w:sz w:val="32"/>
          <w:szCs w:val="32"/>
          <w:lang w:eastAsia="zh-CN"/>
        </w:rPr>
        <w:t>、供应商渠道</w:t>
      </w:r>
      <w:r>
        <w:rPr>
          <w:rFonts w:hint="eastAsia" w:ascii="仿宋" w:hAnsi="仿宋" w:eastAsia="仿宋" w:cs="仿宋"/>
          <w:sz w:val="32"/>
          <w:szCs w:val="32"/>
        </w:rPr>
        <w:t>等核心资源</w:t>
      </w:r>
      <w:r>
        <w:rPr>
          <w:rFonts w:hint="eastAsia" w:ascii="仿宋" w:hAnsi="仿宋" w:eastAsia="仿宋" w:cs="仿宋"/>
          <w:sz w:val="32"/>
          <w:szCs w:val="32"/>
          <w:lang w:eastAsia="zh-CN"/>
        </w:rPr>
        <w:t>，经营产品品类亦进行了大幅调整</w:t>
      </w:r>
      <w:r>
        <w:rPr>
          <w:rFonts w:ascii="仿宋" w:hAnsi="仿宋" w:eastAsia="仿宋" w:cs="仿宋"/>
          <w:sz w:val="32"/>
          <w:szCs w:val="32"/>
        </w:rPr>
        <w:t>。</w:t>
      </w:r>
      <w:r>
        <w:rPr>
          <w:rFonts w:hint="eastAsia" w:ascii="仿宋" w:hAnsi="仿宋" w:eastAsia="仿宋" w:cs="仿宋"/>
          <w:sz w:val="32"/>
          <w:szCs w:val="32"/>
        </w:rPr>
        <w:t>D公司认为，丁公司</w:t>
      </w:r>
      <w:r>
        <w:rPr>
          <w:rFonts w:hint="eastAsia" w:ascii="仿宋" w:hAnsi="仿宋" w:eastAsia="仿宋" w:cs="仿宋"/>
          <w:sz w:val="32"/>
          <w:szCs w:val="32"/>
          <w:lang w:eastAsia="zh-CN"/>
        </w:rPr>
        <w:t>承接戊公司主要资产和员工，新设店铺从事跨境电商业务，</w:t>
      </w:r>
      <w:r>
        <w:rPr>
          <w:rFonts w:hint="eastAsia" w:ascii="仿宋" w:hAnsi="仿宋" w:eastAsia="仿宋" w:cs="仿宋"/>
          <w:sz w:val="32"/>
          <w:szCs w:val="32"/>
        </w:rPr>
        <w:t>与戊公司构成了一个具有协同效应的不可独立分割的资产组。</w:t>
      </w:r>
    </w:p>
    <w:p>
      <w:pPr>
        <w:keepNext w:val="0"/>
        <w:keepLines w:val="0"/>
        <w:pageBreakBefore w:val="0"/>
        <w:kinsoku/>
        <w:wordWrap/>
        <w:overflowPunct/>
        <w:autoSpaceDN/>
        <w:bidi w:val="0"/>
        <w:spacing w:line="560" w:lineRule="exact"/>
        <w:ind w:left="0" w:leftChars="0" w:right="0" w:firstLine="640" w:firstLineChars="200"/>
        <w:rPr>
          <w:rFonts w:ascii="楷体" w:hAnsi="楷体" w:eastAsia="楷体" w:cs="楷体"/>
          <w:sz w:val="32"/>
          <w:szCs w:val="32"/>
        </w:rPr>
      </w:pPr>
      <w:r>
        <w:rPr>
          <w:rFonts w:hint="eastAsia" w:ascii="楷体" w:hAnsi="楷体" w:eastAsia="楷体" w:cs="楷体"/>
          <w:sz w:val="32"/>
          <w:szCs w:val="32"/>
        </w:rPr>
        <w:t>问题：</w:t>
      </w:r>
      <w:r>
        <w:rPr>
          <w:rFonts w:hint="eastAsia" w:ascii="仿宋" w:hAnsi="仿宋" w:eastAsia="仿宋" w:cs="仿宋"/>
          <w:sz w:val="32"/>
          <w:szCs w:val="32"/>
        </w:rPr>
        <w:t>戊</w:t>
      </w:r>
      <w:r>
        <w:rPr>
          <w:rFonts w:hint="eastAsia" w:ascii="楷体" w:hAnsi="楷体" w:eastAsia="楷体" w:cs="楷体"/>
          <w:sz w:val="32"/>
          <w:szCs w:val="32"/>
        </w:rPr>
        <w:t>公司是否能纳入丁公司相关资产组?</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2．参考意见</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sz w:val="32"/>
          <w:szCs w:val="20"/>
        </w:rPr>
      </w:pPr>
      <w:r>
        <w:rPr>
          <w:rFonts w:hint="eastAsia" w:ascii="仿宋" w:hAnsi="仿宋" w:eastAsia="仿宋"/>
          <w:sz w:val="32"/>
          <w:szCs w:val="20"/>
        </w:rPr>
        <w:t>根据企业会计准则，商誉应当结合与其相关的资产组或者资产组组合进行减值测试。相关的资产组或者资产组组合应当是能够从企业合并的协同效应中受益的资产组或者资产组组合</w:t>
      </w:r>
      <w:r>
        <w:rPr>
          <w:rFonts w:hint="eastAsia" w:ascii="仿宋" w:hAnsi="仿宋" w:eastAsia="仿宋" w:cs="仿宋"/>
          <w:sz w:val="32"/>
          <w:szCs w:val="32"/>
        </w:rPr>
        <w:t>。一般来说，企业合并取得的商誉的初始分摊应于购买日完成，除非发生了因企业重组等原因导致报告结构发生变更，从而影响到已分摊商誉的资产组构成，通常不应改变其分摊结果。</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本案例中，戊公司承接原丁公司</w:t>
      </w:r>
      <w:r>
        <w:rPr>
          <w:rFonts w:hint="eastAsia" w:ascii="仿宋" w:hAnsi="仿宋" w:eastAsia="仿宋" w:cs="仿宋"/>
          <w:sz w:val="32"/>
          <w:szCs w:val="32"/>
          <w:lang w:eastAsia="zh-CN"/>
        </w:rPr>
        <w:t>主要固定资产和员工</w:t>
      </w:r>
      <w:r>
        <w:rPr>
          <w:rFonts w:hint="eastAsia" w:ascii="仿宋" w:hAnsi="仿宋" w:eastAsia="仿宋" w:cs="仿宋"/>
          <w:sz w:val="32"/>
          <w:szCs w:val="32"/>
        </w:rPr>
        <w:t>，报告结构发生了变化。从案例背景来看，D公司新设戊公司，是在外部环境及丁公司经营情况发生变化的情况下发生的，初始收购丁公司时，可能无法预计未来新设公司并整合丁公司业务资源的因素。因此，可以合理推测收购丁公司的购买对价不包括未来设立戊公司产生的协同效应。</w:t>
      </w:r>
      <w:r>
        <w:rPr>
          <w:rFonts w:hint="eastAsia" w:ascii="仿宋" w:hAnsi="仿宋" w:eastAsia="仿宋" w:cs="仿宋"/>
          <w:sz w:val="32"/>
          <w:szCs w:val="32"/>
          <w:lang w:eastAsia="zh-CN"/>
        </w:rPr>
        <w:t>另外，</w:t>
      </w:r>
      <w:r>
        <w:rPr>
          <w:rFonts w:hint="eastAsia" w:ascii="仿宋" w:hAnsi="仿宋" w:eastAsia="仿宋" w:cs="仿宋"/>
          <w:sz w:val="32"/>
          <w:szCs w:val="32"/>
        </w:rPr>
        <w:t>戊公司未</w:t>
      </w:r>
      <w:r>
        <w:rPr>
          <w:rFonts w:hint="eastAsia" w:ascii="仿宋" w:hAnsi="仿宋" w:eastAsia="仿宋" w:cs="仿宋"/>
          <w:sz w:val="32"/>
          <w:szCs w:val="32"/>
          <w:lang w:eastAsia="zh-CN"/>
        </w:rPr>
        <w:t>承接</w:t>
      </w:r>
      <w:r>
        <w:rPr>
          <w:rFonts w:hint="eastAsia" w:ascii="仿宋" w:hAnsi="仿宋" w:eastAsia="仿宋" w:cs="仿宋"/>
          <w:sz w:val="32"/>
          <w:szCs w:val="32"/>
        </w:rPr>
        <w:t>丁公司</w:t>
      </w:r>
      <w:r>
        <w:rPr>
          <w:rFonts w:hint="eastAsia" w:ascii="仿宋" w:hAnsi="仿宋" w:eastAsia="仿宋" w:cs="仿宋"/>
          <w:sz w:val="32"/>
          <w:szCs w:val="32"/>
          <w:lang w:eastAsia="zh-CN"/>
        </w:rPr>
        <w:t>收购商誉涉及的</w:t>
      </w:r>
      <w:r>
        <w:rPr>
          <w:rFonts w:hint="eastAsia" w:ascii="仿宋" w:hAnsi="仿宋" w:eastAsia="仿宋" w:cs="仿宋"/>
          <w:sz w:val="32"/>
          <w:szCs w:val="32"/>
        </w:rPr>
        <w:t>核心资源</w:t>
      </w:r>
      <w:r>
        <w:rPr>
          <w:rFonts w:hint="eastAsia" w:ascii="仿宋" w:hAnsi="仿宋" w:eastAsia="仿宋" w:cs="仿宋"/>
          <w:sz w:val="32"/>
          <w:szCs w:val="32"/>
          <w:lang w:eastAsia="zh-CN"/>
        </w:rPr>
        <w:t>或要素，仅承接其部分固定资产和人员，并非基于丁公司资产组开展新业务</w:t>
      </w:r>
      <w:r>
        <w:rPr>
          <w:rFonts w:hint="eastAsia" w:ascii="仿宋" w:hAnsi="仿宋" w:eastAsia="仿宋" w:cs="仿宋"/>
          <w:sz w:val="32"/>
          <w:szCs w:val="32"/>
        </w:rPr>
        <w:t>，不应将戊公司纳入丁公司资产组。</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3．相关规则</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同案例三。</w:t>
      </w:r>
    </w:p>
    <w:p>
      <w:pPr>
        <w:keepNext w:val="0"/>
        <w:keepLines w:val="0"/>
        <w:pageBreakBefore w:val="0"/>
        <w:kinsoku/>
        <w:wordWrap/>
        <w:overflowPunct/>
        <w:topLinePunct/>
        <w:autoSpaceDN/>
        <w:bidi w:val="0"/>
        <w:spacing w:line="560" w:lineRule="exact"/>
        <w:ind w:left="0" w:leftChars="0" w:right="0" w:firstLine="640" w:firstLineChars="200"/>
        <w:outlineLvl w:val="1"/>
      </w:pPr>
      <w:r>
        <w:rPr>
          <w:rFonts w:hint="eastAsia" w:ascii="楷体" w:hAnsi="楷体" w:eastAsia="楷体" w:cs="楷体"/>
          <w:sz w:val="32"/>
          <w:szCs w:val="32"/>
        </w:rPr>
        <w:t>小结</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商誉的本质是公司在购买日为相应业务而支付的溢价，如果随意变更相关资产组，将会导致财务报表无法真实公允地反映商誉的价值。上市公司在进行商誉减值测试时，应关注资产组的划分是否合理。资产组的划分应基于是否从企业合并的协同效应中受益确定。资产组一经确定，原则上不得随意变更，除非因重组等原因导致报告结构改变，影响已分摊商誉的资产组或资产组组合构成，此时需按照合理方法重新分摊商誉。</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对于收购后新增投资，如案例三新设配套加工生产线，应首先判断新增业务是否独立构成资产组，进而判断商誉减值测试时是否需要分摊商誉。对于案例四新设公司承接原商誉资产组的业务，需要关注分摊商誉的资产组在前后主体内是否发生实质性改变。</w:t>
      </w:r>
    </w:p>
    <w:p>
      <w:pPr>
        <w:keepNext w:val="0"/>
        <w:keepLines w:val="0"/>
        <w:pageBreakBefore w:val="0"/>
        <w:kinsoku/>
        <w:wordWrap/>
        <w:overflowPunct/>
        <w:autoSpaceDN/>
        <w:bidi w:val="0"/>
        <w:spacing w:line="560" w:lineRule="exact"/>
        <w:ind w:left="0" w:leftChars="0" w:right="0" w:firstLine="640" w:firstLineChars="200"/>
        <w:rPr>
          <w:rFonts w:ascii="仿宋" w:hAnsi="仿宋" w:eastAsia="仿宋" w:cs="仿宋"/>
          <w:sz w:val="32"/>
          <w:szCs w:val="32"/>
        </w:rPr>
      </w:pPr>
      <w:r>
        <w:rPr>
          <w:rFonts w:hint="eastAsia" w:ascii="仿宋" w:hAnsi="仿宋" w:eastAsia="仿宋" w:cs="仿宋"/>
          <w:sz w:val="32"/>
          <w:szCs w:val="32"/>
        </w:rPr>
        <w:t xml:space="preserve">审计机构在审计过程中，应重点关注资产组划分的合理性和一致性。对于资产组的变更，审计机构需审慎核查是否存在合理的变更理由，并核查新增资产或资产组是否影响到已分摊商誉资产组或资产组组合构成。 </w:t>
      </w:r>
    </w:p>
    <w:p>
      <w:pPr>
        <w:keepNext w:val="0"/>
        <w:keepLines w:val="0"/>
        <w:pageBreakBefore w:val="0"/>
        <w:widowControl/>
        <w:suppressLineNumbers w:val="0"/>
        <w:kinsoku/>
        <w:wordWrap/>
        <w:overflowPunct/>
        <w:autoSpaceDN/>
        <w:bidi w:val="0"/>
        <w:spacing w:line="560" w:lineRule="exact"/>
        <w:ind w:left="0" w:leftChars="0" w:right="0" w:firstLine="640" w:firstLineChars="200"/>
        <w:jc w:val="left"/>
        <w:outlineLvl w:val="0"/>
        <w:rPr>
          <w:sz w:val="32"/>
          <w:szCs w:val="32"/>
          <w:highlight w:val="none"/>
        </w:rPr>
      </w:pPr>
      <w:r>
        <w:rPr>
          <w:rFonts w:ascii="黑体" w:hAnsi="宋体" w:eastAsia="黑体" w:cs="黑体"/>
          <w:color w:val="000000"/>
          <w:kern w:val="0"/>
          <w:sz w:val="32"/>
          <w:szCs w:val="32"/>
          <w:highlight w:val="none"/>
          <w:lang w:val="en-US" w:eastAsia="zh-CN" w:bidi="ar"/>
        </w:rPr>
        <w:t xml:space="preserve">四、会计审计政策资讯 </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firstLine="640" w:firstLineChars="200"/>
        <w:jc w:val="both"/>
        <w:textAlignment w:val="auto"/>
        <w:outlineLvl w:val="1"/>
        <w:rPr>
          <w:rFonts w:hint="eastAsia" w:ascii="黑体" w:hAnsi="黑体" w:eastAsia="黑体" w:cs="黑体"/>
          <w:kern w:val="0"/>
          <w:sz w:val="32"/>
          <w:szCs w:val="32"/>
          <w:highlight w:val="none"/>
          <w:lang w:val="en-US" w:eastAsia="zh-CN" w:bidi="ar"/>
        </w:rPr>
      </w:pPr>
      <w:r>
        <w:rPr>
          <w:rFonts w:hint="eastAsia" w:ascii="黑体" w:hAnsi="黑体" w:eastAsia="黑体" w:cs="黑体"/>
          <w:kern w:val="0"/>
          <w:sz w:val="32"/>
          <w:szCs w:val="32"/>
          <w:highlight w:val="none"/>
          <w:lang w:val="en-US" w:eastAsia="zh-CN" w:bidi="ar"/>
        </w:rPr>
        <w:t>（一）财政部会计审计政策资讯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楷体" w:cs="仿宋"/>
          <w:sz w:val="32"/>
          <w:szCs w:val="32"/>
          <w:highlight w:val="none"/>
          <w:lang w:val="en-US" w:eastAsia="zh-CN"/>
        </w:rPr>
      </w:pPr>
      <w:r>
        <w:rPr>
          <w:rFonts w:hint="eastAsia" w:ascii="仿宋" w:hAnsi="仿宋" w:eastAsia="楷体" w:cs="仿宋"/>
          <w:sz w:val="32"/>
          <w:szCs w:val="32"/>
          <w:highlight w:val="none"/>
          <w:lang w:val="en-US" w:eastAsia="zh-CN"/>
        </w:rPr>
        <w:t>1.财政部、中国证监会等联合发布《行政事业单位、国有企业、上市公司选聘资产评估机构管理办法》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2025年10月14日，财政部、国务院国资委、中国证监会联合发布《行政事业单位、国有企业、上市公司选聘资产评估机构管理办法》。主要内容包括：一是上市公司应当选聘已依法备案从事证券服务业务的资产评估机构。二是应当采用公开招标、邀请招标、竞争性磋商及其他能够充分了解资产评估机构胜任能力的选聘方式。三是细化选聘资产评估机构的评价标准。四是相关文件和决策资料应当归档保存，保存期至少10年。五是上市公司违反本办法规定的，证券监督管理机构可以依法采取责令改正、监管谈话、出具警示函等管理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2.财政部发布《关于进一步压实会计工作责任 加强会计法律法规和国家统一的会计制度贯彻实施的意见》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2025年10月30日，财政部发布《关于进一步压实会计工作责任 加强会计法律法规和国家统一的会计制度贯彻实施的意见》。主要包括以下内容：一是总体要求，明确指导思想和主要目标。二是单位会计主体责任，明确单位作为会计主体，在办理会计事务、加强会计工作组织和人员配备、开展内部监督和配合外部监督等方面的会计工作责任。三是单位相关人员工作责任，明确单位负责人、单位主管会计工作的负责人（总会计师）、单位会计人员、单位其他人员的会计工作责任。四是会计服务机构工作责任，明确代理记账机构及其从业人员、会计师事务所和注册会计师、会计软件服务商的相关工作责任。五是政府部门监管责任，明确财政部门、有关监督检查部门、业务主管部门的会计监管责任。六是行业协会自律监督责任，明确注册会计师协会、代理记账行业协会的自律监督责任。七是加强组织领导，要求各地区、各部门做好宣传培训，抓好贯彻落实；要求各单位切实履行法定责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3.财政部发布《企业会计准则解释第19号》</w:t>
      </w:r>
      <w:r>
        <w:rPr>
          <w:rFonts w:hint="eastAsia" w:ascii="仿宋" w:hAnsi="仿宋" w:eastAsia="仿宋" w:cs="仿宋"/>
          <w:sz w:val="32"/>
          <w:szCs w:val="32"/>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12月5日，财政部印发《企业会计准则解释第19号》。主要包括五方面内容：一是关于非同一控制下企业合并中补偿性资产的会计处理；二是关于处置原通过同一控制下企业合并取得子公司时相关资本公积的会计处理；三是关于采用电子支付系统结算的金融负债的终止确认；四是关于金融资产合同现金流量特征的评估及相关披露；五是关于指定为以公允价值计量且其变动计入其他综合收益的权益工具的披露。</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4.财政部、中国证监会等九部司联合发布《企业可持续披露准则第1号——气候（试行）》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规范企业可持续发展信息披露，2025年12月19日，财政部会同生态环境部、外交部、国家发展改革委、工业和信息化部、商务部、中国人民银行、国务院国资委、金融监管总局、中国证监会制定了《企业可持续披露准则第1号——气候（试行）》（以下简称气候准则）。气候准则主要包括四方面内容：一是治理，规定了企业在气候相关治理方面的披露目标，对需要披露的治理机构或者个人信息、管理层信息、治理信息整合披露，以及第三方鉴证等作出规定。二是战略，规定了企业在气候相关战略方面的披露目标，明确了气候相关风险和机遇的信息及其如何影响企业的战略和决策、当期和预期财务影响、气候韧性等披露要求。三是风险和机遇管理，规定企业在气候相关风险和机遇管理方面的披露目标，明确了如何披露气候相关风险和机遇的管理流程，以及对这些流程融入企业整体风险管理流程的程度和整合披露的规定。四是指标和目标，规定了企业气候相关行业通用指标、行业特定指标、气候相关目标，以及温室气体排放核算依据等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气候准则现阶段由企业自愿实施，后续将采取区分重点、试点先行、循序渐进、分步推进的策略，从上市公司向非上市公司扩展，从大型企业向中小企业扩展，从定性要求向定量要求扩展，从自愿披露向强制披露扩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5.财政部、中国证监会等四部委联合印发通知，要求严格执行企业会计准则，切实做好2025年年报工作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2025年12月15日，财政部、国务院国资委、金融监管总局、中国证监会联合发布《关于严格执行企业会计准则</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eastAsia="zh-CN"/>
        </w:rPr>
        <w:t>切实做好企业2025年年报工作的通知》（以下简称通知）。通知主要包括两方面内容：一是明确编制2025年年报应予关注的准则实施重点，对长期股权投资、收入等十七个领域进行重点提示。二是对各类主体做好年报工作提出具体要求。企业应当严格执行会计准则，加强内部控制，全面提升年报质量；会计师事务所应当提高审计质量，充分发挥审计鉴证作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6.财政部发布汽车制造业、房地产业、保险业会计核算手册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进一步增强企业会计准则在行业实务运用中的操作性，2025年12月30日，财政部会计司发布汽车制造业、房地产业、保险业3个行业会计核算手册（以下简称手册）。手册的主要内容包括：一是行业典型业务简介，介绍行业主要业务及业务流程。二是行业典型业务及会计处理指引，阐释行业典型业务及涉及的具体会计处理。三是行业会计科目，介绍行业主要会计科目及与财务报表项目的映射关系、行业重点及特殊会计科目核算内容。四是行业财务报表重点内容列报，介绍行业特殊报表项目补充编制说明、重要会计政策披露及报表重要项目附注披露。五是行业重要会计估计，介绍行业具有代表性的会计估计的重要参数及考虑因素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7.财政部就《企业会计准则第30号——财务报表列报》及配套利润表格式公开征求意见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12月29日，财政部就《企业会计准则第30号——财务报表列报（修订征求意见稿）》，以及与之配套的《一般企业利润表的列报格式和列报方法（修订征求意见稿）》《金融企业利润表的列报格式和列报方法（修订征求意见稿）》《合并利润表的列报格式和列报方法（修订征求意见稿）》正式征求意见（以下统一简称征求意见稿）。征求意见稿主要是在不改变净利润金额的前提下对利润表进行更清晰的结构化呈现，并增加管理层业绩指标等附注信息披露要求。主要修订内容如下：一是优化利润表结构；二是引入管理层业绩指标披露要求；三是明确财务报表信息汇总与分解等原则；四是完善“重要性”的定义。</w:t>
      </w:r>
    </w:p>
    <w:p>
      <w:pPr>
        <w:keepNext w:val="0"/>
        <w:keepLines w:val="0"/>
        <w:pageBreakBefore w:val="0"/>
        <w:widowControl/>
        <w:suppressLineNumbers w:val="0"/>
        <w:kinsoku/>
        <w:wordWrap/>
        <w:overflowPunct/>
        <w:autoSpaceDN/>
        <w:bidi w:val="0"/>
        <w:spacing w:line="560" w:lineRule="exact"/>
        <w:ind w:left="0" w:leftChars="0" w:right="0" w:firstLine="620" w:firstLineChars="200"/>
        <w:jc w:val="left"/>
        <w:outlineLvl w:val="1"/>
        <w:rPr>
          <w:highlight w:val="none"/>
        </w:rPr>
      </w:pPr>
      <w:r>
        <w:rPr>
          <w:rFonts w:ascii="黑体" w:hAnsi="宋体" w:eastAsia="黑体" w:cs="黑体"/>
          <w:color w:val="000000"/>
          <w:kern w:val="0"/>
          <w:sz w:val="31"/>
          <w:szCs w:val="31"/>
          <w:highlight w:val="none"/>
          <w:lang w:val="en-US" w:eastAsia="zh-CN" w:bidi="ar"/>
        </w:rPr>
        <w:t>（二）证监会系统会计审计政策资讯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1.中国证监会修订《上市公司治理准则》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10月17日，证监会发布了新修订的《上市公司治理准则》，自2026年1月1日起施行。本次修订主要包括以下内容：一是完善董事、高级管理人员监管制度。从任职、履职、离职等方面进行全面规范，督促董事高管忠实、勤勉地履行职责。二是健全董事、高级管理人员激励约束机制。要求上市公司建立薪酬管理制度，规定董事高管薪酬与公司经营业绩、个人业绩相匹配，促进董事高管和公司更好实现利益绑定。三是规范控股股东、实际控制人行为。严格限制可能对上市公司产生重大不利影响的同业竞争，进一步完善关联交易审议责任、决策要求。四是做好与其他规则的衔接。根据《证券法》《上市公司独立董事管理办法》等，完善公开征集股东权利以及董事会提名委员会、薪酬与考核委员会职责等规定，提升规则协调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2.中国证监会就《上市公司监督管理条例》公开征求意见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12月5日，证监会发布《上市公司监督管理条例（公开征求意见稿）》（以下简称《条例》）。《条例》主要内容包括：一是完善上市公司治理要求。规范治理架构以及控股股东、实际控制人、董事、高管等关键少数的行为，促进提升治理的有效性，夯实上市公司高质量发展的根基。二是进一步强化信息披露监管。特别是针对上市公司信息披露“财务造假”，通过健全上市公司内部监督制约、追责追偿机制，禁止第三方配合造假等方式，多维度予以重点打击和防范。三是规范并购重组行为。细化完善上市公司收购、重大资产重组等规定，进一步明确财务顾问的职责定位和独立性要求，支持产业整合升级和企业转型。四是加强投资者保护。对市值管理、现金分红、股份回购等作出明确要求，推动上市公司提升投资价值、增强回报投资者意识。明确主动退市中投资者保护安排，防范上市公司规避退市、利用破产重整损害投资者利益。五是严厉打击违法违规行为，细化国务院证券监督管理机构在依法履职过程中可以采取的措施，对占用担保、配合造假等行为设置专门罚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3.中国证监会发布《证券期货市场监督管理措施实施办法》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落实法治政府建设相关要求，进一步规范证券期货市场监督管理措施（以下简称监管措施）的实施程序，2025年12月31日，证监会发布了《证券期货市场监督管理措施实施办法》（以下简称《实施办法》），自2026年6月30日起施行。《实施办法》主要包括以下内容：一是明确监管措施的种类。列出责令改正、监管谈话、出具警示函、责令定期报告等十四类比较常用的措施。二是明确监管措施的实施原则。应当遵循依法、效率、公正原则，应当符合法律、行政法规、中国证监会规章规定的程序，应当及时矫正违法行为，防范风险蔓延与危害后果扩散。三是明确实施监管措施的程序要求。包括监管措施的取证、决定、送达、现场执法、回避、法制审核等一般程序要求，事先告知等特别程序要求，以及紧急情况下的快速处置机制。四是明确监管措施决定的作出及执行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4.中国证监会就《上市公司董事会秘书监管规则》公开征求意见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进一步规范上市公司董事会秘书履职行为，推动提升上市公司治理水平，2025年12月31日，证监会发布《上市公司董事会秘书监管规则（征求意见稿）》（以下简称《规则》），向社会公开征求意见。《规则》共三十八条，主要包括以下内容：一是明确职责范围。细化董事会秘书在信息披露、公司治理、内外部沟通等方面的具体职责。二是健全履职保障。从信息获取、履职平台、履职救济等多方面提供保障，促进董事会秘书充分依法履职。三是完善任职管理。提升董事会秘书任职的专业素养及合规要求，禁止可能有职责冲突的兼任。要求提名委员会对董事会秘书任职资格进行审查。四是强化责任追究。要求上市公司内部定期开展履职评价和内部追责；对上市公司出现违法违规但董事会秘书未勤勉尽责的，严格采取监管措施或者实施处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5.深交所就修订《股票上市规则》等业务规则公开征求意见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在证监会统筹指导下，2025年12月31日，深交所修订主板、创业板《股票上市规则》和《规范运作指引》，向社会公开征求意见。本次修订内容主要包括：一是强化董秘职责定位。细化董秘在组织协调公司信息披露事务、促进公司治理合规和推动内外部有效沟通等方面职责。二是健全董秘履职保障。要求将董秘履职嵌入公司日常经营管理流程，明确董事、高管、各职能部门等应当积极配合董秘履职，完善履职不畅的报告机制等。三是完善董事、高管任职管理。严格董秘任职资格，要求董秘应当具备履职所必需的工作经验。规范董事、高管选聘及解聘程序，防范不适格主体任职。四是加强董事、高管履职监管。要求公司健全董事、高管薪酬激励约束机制，细化董事、高管忠实勤勉义务，加强董秘履职内部约束和责任追究等。五是规范控股股东、实际控制人行为。完善保持上市公司独立性监管要求，明确同业竞争相关规范事项。</w:t>
      </w:r>
    </w:p>
    <w:p>
      <w:pPr>
        <w:keepNext w:val="0"/>
        <w:keepLines w:val="0"/>
        <w:pageBreakBefore w:val="0"/>
        <w:widowControl/>
        <w:suppressLineNumbers w:val="0"/>
        <w:kinsoku/>
        <w:wordWrap/>
        <w:overflowPunct/>
        <w:autoSpaceDN/>
        <w:bidi w:val="0"/>
        <w:spacing w:line="560" w:lineRule="exact"/>
        <w:ind w:left="0" w:leftChars="0" w:right="0" w:firstLine="620" w:firstLineChars="200"/>
        <w:jc w:val="left"/>
        <w:outlineLvl w:val="1"/>
        <w:rPr>
          <w:highlight w:val="none"/>
        </w:rPr>
      </w:pPr>
      <w:r>
        <w:rPr>
          <w:rFonts w:ascii="黑体" w:hAnsi="宋体" w:eastAsia="黑体" w:cs="黑体"/>
          <w:color w:val="000000"/>
          <w:kern w:val="0"/>
          <w:sz w:val="31"/>
          <w:szCs w:val="31"/>
          <w:highlight w:val="none"/>
          <w:lang w:val="en-US" w:eastAsia="zh-CN" w:bidi="ar"/>
        </w:rPr>
        <w:t>（三）国际会计审计政策资讯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1.国际可持续准则理事会发布《采用或以其他方式使用国际可持续披露准则的司法管辖区依据指南》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10月30日，国际可持续准则理事会发布《采用或以其他方式使用国际可持续披露准则的司法管辖区依据指南》（以下简称《指南》）及配套工具，探讨各司法管辖区采用国际可持续披露准则的经验和动机，旨在为全球各司法管辖区考量是否采用或以其他方式使用国际可持续披露准则提供决策依据与支持。《指南》从三个方面具体说明采用或以其他方式使用国际可持续披露准则的益处。一是通过为投资者的资本配置决策提供信息来强化资本市场。二是提升企业成本效益与运营效率。三是在相关情况下可持续相关财务披露全球基准带来的其他益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2.国际会计准则理事会发布《对示例的修订——财务报表中的不确定性披露》</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val="en-US" w:eastAsia="zh-CN"/>
        </w:rPr>
        <w:t>2025年11月28日，国际会计准则理事会（以下简称理事会）发布《对示例的修订——财务报表中的不确定性披露》（以下简称《示例》），通过增加6个示例对《国际财务报告准则第18号——财务报表列示和披露》《国际财务报告准则第7号——金融工具：披露》《国际会计准则第8号——财务报表编制基础》《国际会计准则第36号——资产减值》《国际会计准则第37号——准备、或有负债和或有资产》等准则的随附指南进行修订，说明企业在财务报表中报告不确定性影响时，应当如何应用国际财务报告会计准则的相关规定。这6个示例聚焦于重要性判断、附注中分解信息的披露、特定风险影响的相关披露、假设的披露、不确定性相关假设的披露、弃置和场地复原义务的披露，虽然均与气候相关，但所述原则与要求同样适用于除气候以外的其他类型的不确定性。主要包含两方面内容：一是企业在财务报表中如何根据《国际财务报告准则第18号》第20段的要求进行重要性判断。二是特定风险影响的相关披露。</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3.国际可持续准则理事会发布《对温室气体排放披露要求的修订》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jc w:val="both"/>
        <w:textAlignment w:val="auto"/>
        <w:rPr>
          <w:rFonts w:hint="default"/>
          <w:highlight w:val="none"/>
          <w:lang w:val="en-US" w:eastAsia="zh-CN"/>
        </w:rPr>
      </w:pPr>
      <w:r>
        <w:rPr>
          <w:rFonts w:hint="eastAsia" w:ascii="仿宋" w:hAnsi="仿宋" w:eastAsia="仿宋" w:cs="仿宋"/>
          <w:sz w:val="32"/>
          <w:szCs w:val="32"/>
          <w:highlight w:val="none"/>
          <w:lang w:val="en-US" w:eastAsia="zh-CN"/>
        </w:rPr>
        <w:t>2025年12月11日，国际可持续准则理事会发布《对温室气体排放披露要求的修订》，对《国际可持续披露准则第2号——气候相关披露》和可持续核算准则理事会标准中资产管理和托管活动、商业银行、保险三个行业标准的温室气体排放披露要求进行了修订。主要包括五方面内容：一是关于范围3第15类温室气体排放披露的豁免。二是关于使用全球行业分类标准的豁免。三是关于使用温室气体核算体系的豁免。四是关于使用特定全球变暖潜力值的豁免。五是关于过渡期披露要求。该修订适用于2027年1月1日或之后开始的报告期间，允许提前采用。</w:t>
      </w:r>
    </w:p>
    <w:p>
      <w:pPr>
        <w:keepNext w:val="0"/>
        <w:keepLines w:val="0"/>
        <w:pageBreakBefore w:val="0"/>
        <w:kinsoku/>
        <w:wordWrap/>
        <w:overflowPunct/>
        <w:topLinePunct w:val="0"/>
        <w:autoSpaceDN/>
        <w:bidi w:val="0"/>
        <w:adjustRightInd/>
        <w:snapToGrid/>
        <w:spacing w:line="560" w:lineRule="exact"/>
        <w:ind w:left="0" w:leftChars="0" w:right="0" w:firstLine="640" w:firstLineChars="200"/>
        <w:outlineLvl w:val="9"/>
        <w:rPr>
          <w:rFonts w:ascii="楷体" w:hAnsi="楷体" w:eastAsia="楷体" w:cs="Times New Roman"/>
          <w:color w:val="000000"/>
          <w:sz w:val="32"/>
          <w:szCs w:val="32"/>
          <w:highlight w:val="none"/>
        </w:rPr>
      </w:pPr>
      <w:r>
        <w:rPr>
          <w:rFonts w:ascii="楷体" w:hAnsi="楷体" w:eastAsia="楷体" w:cs="Times New Roman"/>
          <w:color w:val="000000"/>
          <w:sz w:val="32"/>
          <w:szCs w:val="32"/>
          <w:highlight w:val="none"/>
        </w:rPr>
        <w:br w:type="page"/>
      </w:r>
    </w:p>
    <w:p>
      <w:pPr>
        <w:keepNext w:val="0"/>
        <w:keepLines w:val="0"/>
        <w:pageBreakBefore w:val="0"/>
        <w:kinsoku/>
        <w:wordWrap/>
        <w:overflowPunct/>
        <w:topLinePunct/>
        <w:autoSpaceDN/>
        <w:bidi w:val="0"/>
        <w:spacing w:line="560" w:lineRule="exact"/>
        <w:ind w:left="0" w:leftChars="0" w:right="0" w:firstLine="640" w:firstLineChars="200"/>
        <w:textAlignment w:val="center"/>
        <w:rPr>
          <w:rFonts w:ascii="Times New Roman" w:hAnsi="Times New Roman" w:eastAsia="楷体" w:cs="Times New Roman"/>
          <w:color w:val="000000"/>
          <w:sz w:val="32"/>
          <w:szCs w:val="32"/>
          <w:highlight w:val="none"/>
        </w:rPr>
      </w:pPr>
      <w:r>
        <w:rPr>
          <w:rFonts w:ascii="Times New Roman" w:hAnsi="Times New Roman" w:eastAsia="楷体" w:cs="Times New Roman"/>
          <w:color w:val="000000"/>
          <w:sz w:val="32"/>
          <w:szCs w:val="32"/>
          <w:highlight w:val="none"/>
        </w:rPr>
        <w:drawing>
          <wp:anchor distT="0" distB="0" distL="114300" distR="114300" simplePos="0" relativeHeight="251664384" behindDoc="0" locked="0" layoutInCell="1" allowOverlap="1">
            <wp:simplePos x="0" y="0"/>
            <wp:positionH relativeFrom="column">
              <wp:posOffset>-307975</wp:posOffset>
            </wp:positionH>
            <wp:positionV relativeFrom="paragraph">
              <wp:posOffset>6337300</wp:posOffset>
            </wp:positionV>
            <wp:extent cx="904875" cy="904875"/>
            <wp:effectExtent l="0" t="0" r="9525" b="9525"/>
            <wp:wrapNone/>
            <wp:docPr id="15" name="图片 15" descr="d:\Users\panzhang\Desktop\a876237d3f49d38805ca4f787b663ec.pnga876237d3f49d38805ca4f787b66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Users\panzhang\Desktop\a876237d3f49d38805ca4f787b663ec.pnga876237d3f49d38805ca4f787b663ec"/>
                    <pic:cNvPicPr>
                      <a:picLocks noChangeAspect="1"/>
                    </pic:cNvPicPr>
                  </pic:nvPicPr>
                  <pic:blipFill>
                    <a:blip r:embed="rId17">
                      <a:duotone>
                        <a:schemeClr val="accent1">
                          <a:shade val="45000"/>
                          <a:satMod val="135000"/>
                        </a:schemeClr>
                        <a:prstClr val="white"/>
                      </a:duotone>
                    </a:blip>
                    <a:srcRect/>
                    <a:stretch>
                      <a:fillRect/>
                    </a:stretch>
                  </pic:blipFill>
                  <pic:spPr>
                    <a:xfrm>
                      <a:off x="0" y="0"/>
                      <a:ext cx="904875" cy="904875"/>
                    </a:xfrm>
                    <a:prstGeom prst="rect">
                      <a:avLst/>
                    </a:prstGeom>
                    <a:ln>
                      <a:noFill/>
                    </a:ln>
                  </pic:spPr>
                </pic:pic>
              </a:graphicData>
            </a:graphic>
          </wp:anchor>
        </w:drawing>
      </w:r>
      <w:r>
        <w:rPr>
          <w:rFonts w:ascii="Times New Roman" w:hAnsi="Times New Roman" w:eastAsia="楷体" w:cs="Times New Roman"/>
          <w:color w:val="000000"/>
          <w:sz w:val="32"/>
          <w:szCs w:val="32"/>
          <w:highlight w:val="none"/>
        </w:rPr>
        <mc:AlternateContent>
          <mc:Choice Requires="wps">
            <w:drawing>
              <wp:anchor distT="0" distB="0" distL="114300" distR="114300" simplePos="0" relativeHeight="251665408" behindDoc="0" locked="0" layoutInCell="1" allowOverlap="1">
                <wp:simplePos x="0" y="0"/>
                <wp:positionH relativeFrom="column">
                  <wp:posOffset>-1454785</wp:posOffset>
                </wp:positionH>
                <wp:positionV relativeFrom="paragraph">
                  <wp:posOffset>7363460</wp:posOffset>
                </wp:positionV>
                <wp:extent cx="3301365" cy="937895"/>
                <wp:effectExtent l="0" t="0" r="0" b="0"/>
                <wp:wrapNone/>
                <wp:docPr id="16" name="矩形 16"/>
                <wp:cNvGraphicFramePr/>
                <a:graphic xmlns:a="http://schemas.openxmlformats.org/drawingml/2006/main">
                  <a:graphicData uri="http://schemas.microsoft.com/office/word/2010/wordprocessingShape">
                    <wps:wsp>
                      <wps:cNvSpPr/>
                      <wps:spPr>
                        <a:xfrm>
                          <a:off x="0" y="0"/>
                          <a:ext cx="3301365" cy="937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55pt;margin-top:579.8pt;height:73.85pt;width:259.95pt;z-index:251665408;v-text-anchor:middle;mso-width-relative:page;mso-height-relative:page;" filled="f" stroked="f" coordsize="21600,21600" o:gfxdata="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xtBvTbAAAADgEAAA8AAAAAAAAAAQAgAAAAIgAAAGRycy9kb3ducmV2LnhtbFBLAQIU&#10;ABQAAAAIAIdO4kBP29o1YgIAAK8EAAAOAAAAAAAAAAEAIAAAACoBAABkcnMvZTJvRG9jLnhtbFBL&#10;BQYAAAAABgAGAFkBAAD+BQAAAAA=&#10;">
                <v:fill on="f" focussize="0,0"/>
                <v:stroke on="f" weight="1pt" miterlimit="8" joinstyle="miter"/>
                <v:imagedata o:title=""/>
                <o:lock v:ext="edit" aspectratio="f"/>
                <v:textbo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v:textbox>
              </v:rect>
            </w:pict>
          </mc:Fallback>
        </mc:AlternateContent>
      </w:r>
      <w:r>
        <w:rPr>
          <w:rFonts w:ascii="Times New Roman" w:hAnsi="Times New Roman" w:eastAsia="楷体" w:cs="Times New Roman"/>
          <w:color w:val="000000"/>
          <w:sz w:val="32"/>
          <w:szCs w:val="32"/>
          <w:highlight w:val="none"/>
        </w:rPr>
        <w:drawing>
          <wp:anchor distT="0" distB="0" distL="114300" distR="114300" simplePos="0" relativeHeight="251663360" behindDoc="0" locked="0" layoutInCell="1" allowOverlap="1">
            <wp:simplePos x="0" y="0"/>
            <wp:positionH relativeFrom="column">
              <wp:posOffset>-1302385</wp:posOffset>
            </wp:positionH>
            <wp:positionV relativeFrom="paragraph">
              <wp:posOffset>-946150</wp:posOffset>
            </wp:positionV>
            <wp:extent cx="7772400" cy="10462260"/>
            <wp:effectExtent l="0" t="0" r="0" b="7620"/>
            <wp:wrapNone/>
            <wp:docPr id="17" name="图片 17" descr="D:\黄\2021\深交所\2022.3.10 会计监管动态\蓝色商务宣传画册封面.jpg蓝色商务宣传画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黄\2021\深交所\2022.3.10 会计监管动态\蓝色商务宣传画册封面.jpg蓝色商务宣传画册封面"/>
                    <pic:cNvPicPr>
                      <a:picLocks noChangeAspect="1"/>
                    </pic:cNvPicPr>
                  </pic:nvPicPr>
                  <pic:blipFill>
                    <a:blip r:embed="rId18"/>
                    <a:srcRect r="50239"/>
                    <a:stretch>
                      <a:fillRect/>
                    </a:stretch>
                  </pic:blipFill>
                  <pic:spPr>
                    <a:xfrm>
                      <a:off x="0" y="0"/>
                      <a:ext cx="7772400" cy="10462068"/>
                    </a:xfrm>
                    <a:prstGeom prst="rect">
                      <a:avLst/>
                    </a:prstGeom>
                  </pic:spPr>
                </pic:pic>
              </a:graphicData>
            </a:graphic>
          </wp:anchor>
        </w:drawing>
      </w:r>
    </w:p>
    <w:p>
      <w:pPr>
        <w:pStyle w:val="16"/>
        <w:keepNext w:val="0"/>
        <w:keepLines w:val="0"/>
        <w:pageBreakBefore w:val="0"/>
        <w:kinsoku/>
        <w:wordWrap/>
        <w:overflowPunct/>
        <w:autoSpaceDN/>
        <w:bidi w:val="0"/>
        <w:spacing w:after="0" w:line="560" w:lineRule="exact"/>
        <w:ind w:left="0" w:leftChars="0" w:right="0" w:firstLine="420" w:firstLineChars="200"/>
        <w:rPr>
          <w:highlight w:val="none"/>
        </w:rPr>
      </w:pPr>
    </w:p>
    <w:p>
      <w:pPr>
        <w:keepNext w:val="0"/>
        <w:keepLines w:val="0"/>
        <w:pageBreakBefore w:val="0"/>
        <w:kinsoku/>
        <w:wordWrap/>
        <w:overflowPunct/>
        <w:topLinePunct/>
        <w:autoSpaceDN/>
        <w:bidi w:val="0"/>
        <w:spacing w:line="560" w:lineRule="exact"/>
        <w:ind w:left="0" w:leftChars="0" w:right="0" w:firstLine="640" w:firstLineChars="200"/>
        <w:textAlignment w:val="center"/>
        <w:rPr>
          <w:rFonts w:ascii="Times New Roman" w:hAnsi="Times New Roman" w:eastAsia="楷体" w:cs="Times New Roman"/>
          <w:color w:val="000000"/>
          <w:sz w:val="32"/>
          <w:szCs w:val="32"/>
          <w:highlight w:val="none"/>
        </w:rPr>
      </w:pPr>
    </w:p>
    <w:sectPr>
      <w:headerReference r:id="rId8" w:type="default"/>
      <w:footerReference r:id="rId10" w:type="default"/>
      <w:headerReference r:id="rId9" w:type="even"/>
      <w:footerReference r:id="rId11" w:type="even"/>
      <w:pgSz w:w="11906" w:h="16157"/>
      <w:pgMar w:top="1440" w:right="1800" w:bottom="1440" w:left="1800" w:header="850" w:footer="1077" w:gutter="0"/>
      <w:pgNumType w:fmt="decimal"/>
      <w:cols w:space="0" w:num="1"/>
      <w:formProt w:val="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Noto Sans Mono CJK JP Bold">
    <w:altName w:val="Arial"/>
    <w:panose1 w:val="00000000000000000000"/>
    <w:charset w:val="00"/>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方正黑体简体">
    <w:panose1 w:val="02000000000000000000"/>
    <w:charset w:val="86"/>
    <w:family w:val="auto"/>
    <w:pitch w:val="default"/>
    <w:sig w:usb0="00000001" w:usb1="08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10795"/>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both"/>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1"/>
                      <w:jc w:val="both"/>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10795"/>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1"/>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rFonts w:ascii="黑体" w:hAnsi="黑体" w:eastAsia="黑体" w:cs="黑体"/>
        <w:sz w:val="28"/>
        <w:szCs w:val="44"/>
      </w:rPr>
    </w:pPr>
    <w:r>
      <w:rPr>
        <w:rFonts w:hint="eastAsia" w:ascii="黑体" w:hAnsi="黑体" w:eastAsia="黑体" w:cs="黑体"/>
        <w:sz w:val="24"/>
        <w:szCs w:val="44"/>
      </w:rPr>
      <w:t>深圳证券交易所会计监管动态  202</w:t>
    </w:r>
    <w:r>
      <w:rPr>
        <w:rFonts w:hint="eastAsia" w:ascii="黑体" w:hAnsi="黑体" w:eastAsia="黑体" w:cs="黑体"/>
        <w:sz w:val="24"/>
        <w:szCs w:val="44"/>
        <w:lang w:val="en-US" w:eastAsia="zh-CN"/>
      </w:rPr>
      <w:t>5</w:t>
    </w:r>
    <w:r>
      <w:rPr>
        <w:rFonts w:hint="eastAsia" w:ascii="黑体" w:hAnsi="黑体" w:eastAsia="黑体" w:cs="黑体"/>
        <w:sz w:val="24"/>
        <w:szCs w:val="44"/>
      </w:rPr>
      <w:t>年第</w:t>
    </w:r>
    <w:r>
      <w:rPr>
        <w:rFonts w:hint="eastAsia" w:ascii="黑体" w:hAnsi="黑体" w:eastAsia="黑体" w:cs="黑体"/>
        <w:sz w:val="24"/>
        <w:szCs w:val="44"/>
        <w:lang w:val="en-US" w:eastAsia="zh-CN"/>
      </w:rPr>
      <w:t>4</w:t>
    </w:r>
    <w:r>
      <w:rPr>
        <w:rFonts w:hint="eastAsia" w:ascii="黑体" w:hAnsi="黑体" w:eastAsia="黑体" w:cs="黑体"/>
        <w:sz w:val="24"/>
        <w:szCs w:val="44"/>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mc:AlternateContent>
        <mc:Choice Requires="wpg">
          <w:drawing>
            <wp:anchor distT="0" distB="0" distL="114300" distR="114300" simplePos="0" relativeHeight="251661312" behindDoc="1" locked="0" layoutInCell="1" allowOverlap="1">
              <wp:simplePos x="0" y="0"/>
              <wp:positionH relativeFrom="page">
                <wp:posOffset>6355080</wp:posOffset>
              </wp:positionH>
              <wp:positionV relativeFrom="page">
                <wp:posOffset>391795</wp:posOffset>
              </wp:positionV>
              <wp:extent cx="304800" cy="346075"/>
              <wp:effectExtent l="0" t="0" r="0" b="0"/>
              <wp:wrapNone/>
              <wp:docPr id="20" name="组合 20"/>
              <wp:cNvGraphicFramePr/>
              <a:graphic xmlns:a="http://schemas.openxmlformats.org/drawingml/2006/main">
                <a:graphicData uri="http://schemas.microsoft.com/office/word/2010/wordprocessingGroup">
                  <wpg:wgp>
                    <wpg:cNvGrpSpPr/>
                    <wpg:grpSpPr>
                      <a:xfrm>
                        <a:off x="0" y="0"/>
                        <a:ext cx="304800" cy="346075"/>
                        <a:chOff x="10824" y="1020"/>
                        <a:chExt cx="281" cy="377"/>
                      </a:xfrm>
                    </wpg:grpSpPr>
                    <pic:pic xmlns:pic="http://schemas.openxmlformats.org/drawingml/2006/picture">
                      <pic:nvPicPr>
                        <pic:cNvPr id="2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10842" y="1020"/>
                          <a:ext cx="129" cy="268"/>
                        </a:xfrm>
                        <a:prstGeom prst="rect">
                          <a:avLst/>
                        </a:prstGeom>
                        <a:noFill/>
                        <a:ln>
                          <a:noFill/>
                        </a:ln>
                      </pic:spPr>
                    </pic:pic>
                    <pic:pic xmlns:pic="http://schemas.openxmlformats.org/drawingml/2006/picture">
                      <pic:nvPicPr>
                        <pic:cNvPr id="22"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0824" y="1020"/>
                          <a:ext cx="142" cy="268"/>
                        </a:xfrm>
                        <a:prstGeom prst="rect">
                          <a:avLst/>
                        </a:prstGeom>
                        <a:noFill/>
                        <a:ln>
                          <a:noFill/>
                        </a:ln>
                      </pic:spPr>
                    </pic:pic>
                    <pic:pic xmlns:pic="http://schemas.openxmlformats.org/drawingml/2006/picture">
                      <pic:nvPicPr>
                        <pic:cNvPr id="23"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10844" y="1058"/>
                          <a:ext cx="261" cy="339"/>
                        </a:xfrm>
                        <a:prstGeom prst="rect">
                          <a:avLst/>
                        </a:prstGeom>
                        <a:noFill/>
                        <a:ln>
                          <a:noFill/>
                        </a:ln>
                      </pic:spPr>
                    </pic:pic>
                    <pic:pic xmlns:pic="http://schemas.openxmlformats.org/drawingml/2006/picture">
                      <pic:nvPicPr>
                        <pic:cNvPr id="24"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10844" y="1177"/>
                          <a:ext cx="129" cy="220"/>
                        </a:xfrm>
                        <a:prstGeom prst="rect">
                          <a:avLst/>
                        </a:prstGeom>
                        <a:noFill/>
                        <a:ln>
                          <a:noFill/>
                        </a:ln>
                      </pic:spPr>
                    </pic:pic>
                  </wpg:wgp>
                </a:graphicData>
              </a:graphic>
            </wp:anchor>
          </w:drawing>
        </mc:Choice>
        <mc:Fallback>
          <w:pict>
            <v:group id="_x0000_s1026" o:spid="_x0000_s1026" o:spt="203" style="position:absolute;left:0pt;margin-left:500.4pt;margin-top:30.85pt;height:27.25pt;width:24pt;mso-position-horizontal-relative:page;mso-position-vertical-relative:page;z-index:-251655168;mso-width-relative:page;mso-height-relative:page;" coordorigin="10824,1020" coordsize="281,377" o:gfxdata="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">
              <o:lock v:ext="edit" aspectratio="f"/>
              <v:shape id="Picture 4" o:spid="_x0000_s1026" o:spt="75" type="#_x0000_t75" style="position:absolute;left:10842;top:1020;height:268;width:129;" filled="f" o:preferrelative="t" stroked="f" coordsize="21600,21600" o:gfxdata="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8u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Picture 5" o:spid="_x0000_s1026" o:spt="75" type="#_x0000_t75" style="position:absolute;left:10824;top:1020;height:268;width:142;" filled="f" o:preferrelative="t" stroked="f" coordsize="21600,21600" o:gfxdata="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uxVr4A&#10;AADbAAAADwAAAAAAAAABACAAAAAiAAAAZHJzL2Rvd25yZXYueG1sUEsBAhQAFAAAAAgAh07iQDMv&#10;BZ47AAAAOQAAABAAAAAAAAAAAQAgAAAADQEAAGRycy9zaGFwZXhtbC54bWxQSwUGAAAAAAYABgBb&#10;AQAAtwMAAAAA&#10;">
                <v:fill on="f" focussize="0,0"/>
                <v:stroke on="f"/>
                <v:imagedata r:id="rId2" o:title=""/>
                <o:lock v:ext="edit" aspectratio="t"/>
              </v:shape>
              <v:shape id="Picture 6" o:spid="_x0000_s1026" o:spt="75" type="#_x0000_t75" style="position:absolute;left:10844;top:1058;height:339;width:261;" filled="f" o:preferrelative="t" stroked="f" coordsize="21600,21600" o:gfxdata="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x0X74A&#10;AADbAAAADwAAAAAAAAABACAAAAAiAAAAZHJzL2Rvd25yZXYueG1sUEsBAhQAFAAAAAgAh07iQDMv&#10;BZ47AAAAOQAAABAAAAAAAAAAAQAgAAAADQEAAGRycy9zaGFwZXhtbC54bWxQSwUGAAAAAAYABgBb&#10;AQAAtwMAAAAA&#10;">
                <v:fill on="f" focussize="0,0"/>
                <v:stroke on="f"/>
                <v:imagedata r:id="rId3" o:title=""/>
                <o:lock v:ext="edit" aspectratio="t"/>
              </v:shape>
              <v:shape id="Picture 7" o:spid="_x0000_s1026" o:spt="75" type="#_x0000_t75" style="position:absolute;left:10844;top:1177;height:220;width:129;" filled="f" o:preferrelative="t" stroked="f" coordsize="21600,21600" o:gfxdata="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ZTlb4A&#10;AADbAAAADwAAAAAAAAABACAAAAAiAAAAZHJzL2Rvd25yZXYueG1sUEsBAhQAFAAAAAgAh07iQDMv&#10;BZ47AAAAOQAAABAAAAAAAAAAAQAgAAAADQEAAGRycy9zaGFwZXhtbC54bWxQSwUGAAAAAAYABgBb&#10;AQAAtwMAAAAA&#10;">
                <v:fill on="f" focussize="0,0"/>
                <v:stroke on="f"/>
                <v:imagedata r:id="rId4" o:title=""/>
                <o:lock v:ext="edit" aspectratio="t"/>
              </v:shape>
            </v:group>
          </w:pict>
        </mc:Fallback>
      </mc:AlternateContent>
    </w:r>
    <w:r>
      <w:drawing>
        <wp:anchor distT="0" distB="0" distL="0" distR="0" simplePos="0" relativeHeight="251660288" behindDoc="1" locked="0" layoutInCell="1" allowOverlap="1">
          <wp:simplePos x="0" y="0"/>
          <wp:positionH relativeFrom="page">
            <wp:posOffset>5482590</wp:posOffset>
          </wp:positionH>
          <wp:positionV relativeFrom="page">
            <wp:posOffset>556260</wp:posOffset>
          </wp:positionV>
          <wp:extent cx="822960" cy="311150"/>
          <wp:effectExtent l="0" t="0" r="0" b="0"/>
          <wp:wrapNone/>
          <wp:docPr id="12"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0.png"/>
                  <pic:cNvPicPr>
                    <a:picLocks noChangeAspect="1"/>
                  </pic:cNvPicPr>
                </pic:nvPicPr>
                <pic:blipFill>
                  <a:blip r:embed="rId5" cstate="print"/>
                  <a:stretch>
                    <a:fillRect/>
                  </a:stretch>
                </pic:blipFill>
                <pic:spPr>
                  <a:xfrm>
                    <a:off x="0" y="0"/>
                    <a:ext cx="822960" cy="3111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trackRevisions w:val="1"/>
  <w:documentProtection w:edit="forms" w:enforcement="0"/>
  <w:defaultTabStop w:val="420"/>
  <w:drawingGridHorizontalSpacing w:val="105"/>
  <w:drawingGridVerticalSpacing w:val="158"/>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95"/>
    <w:rsid w:val="000010E4"/>
    <w:rsid w:val="000015DC"/>
    <w:rsid w:val="000031B8"/>
    <w:rsid w:val="00006751"/>
    <w:rsid w:val="00007289"/>
    <w:rsid w:val="000077B4"/>
    <w:rsid w:val="00012619"/>
    <w:rsid w:val="000139BA"/>
    <w:rsid w:val="00015143"/>
    <w:rsid w:val="000155B7"/>
    <w:rsid w:val="00020DE7"/>
    <w:rsid w:val="0002533D"/>
    <w:rsid w:val="000257B9"/>
    <w:rsid w:val="00026112"/>
    <w:rsid w:val="00026E41"/>
    <w:rsid w:val="000344CF"/>
    <w:rsid w:val="00034D49"/>
    <w:rsid w:val="000364FA"/>
    <w:rsid w:val="000371F3"/>
    <w:rsid w:val="00037667"/>
    <w:rsid w:val="00037932"/>
    <w:rsid w:val="00040694"/>
    <w:rsid w:val="00047622"/>
    <w:rsid w:val="00047807"/>
    <w:rsid w:val="00047A07"/>
    <w:rsid w:val="0005151C"/>
    <w:rsid w:val="00052E31"/>
    <w:rsid w:val="00054E93"/>
    <w:rsid w:val="000578D4"/>
    <w:rsid w:val="00062007"/>
    <w:rsid w:val="00062244"/>
    <w:rsid w:val="00066D35"/>
    <w:rsid w:val="00066E81"/>
    <w:rsid w:val="00067EC6"/>
    <w:rsid w:val="00071662"/>
    <w:rsid w:val="00072DDA"/>
    <w:rsid w:val="00073124"/>
    <w:rsid w:val="00075A68"/>
    <w:rsid w:val="000764DE"/>
    <w:rsid w:val="00077603"/>
    <w:rsid w:val="000804E3"/>
    <w:rsid w:val="00080977"/>
    <w:rsid w:val="00080EC7"/>
    <w:rsid w:val="00083C23"/>
    <w:rsid w:val="00090E6F"/>
    <w:rsid w:val="00094644"/>
    <w:rsid w:val="000949DE"/>
    <w:rsid w:val="00096211"/>
    <w:rsid w:val="0009649A"/>
    <w:rsid w:val="000971FB"/>
    <w:rsid w:val="000A0533"/>
    <w:rsid w:val="000A089B"/>
    <w:rsid w:val="000A0ECF"/>
    <w:rsid w:val="000A36A1"/>
    <w:rsid w:val="000A4D11"/>
    <w:rsid w:val="000A61D6"/>
    <w:rsid w:val="000A64D9"/>
    <w:rsid w:val="000A7439"/>
    <w:rsid w:val="000B03E6"/>
    <w:rsid w:val="000B08B1"/>
    <w:rsid w:val="000B13BB"/>
    <w:rsid w:val="000B207A"/>
    <w:rsid w:val="000B2F72"/>
    <w:rsid w:val="000B4698"/>
    <w:rsid w:val="000B770F"/>
    <w:rsid w:val="000C02B5"/>
    <w:rsid w:val="000C2025"/>
    <w:rsid w:val="000C214A"/>
    <w:rsid w:val="000C37FB"/>
    <w:rsid w:val="000C618A"/>
    <w:rsid w:val="000E0EA3"/>
    <w:rsid w:val="000E3F6A"/>
    <w:rsid w:val="000E4F70"/>
    <w:rsid w:val="000E6806"/>
    <w:rsid w:val="000E7E2D"/>
    <w:rsid w:val="000F5378"/>
    <w:rsid w:val="000F670B"/>
    <w:rsid w:val="000F724C"/>
    <w:rsid w:val="000F733C"/>
    <w:rsid w:val="00100AC0"/>
    <w:rsid w:val="001049A0"/>
    <w:rsid w:val="001142F4"/>
    <w:rsid w:val="00117E42"/>
    <w:rsid w:val="00117F36"/>
    <w:rsid w:val="00121056"/>
    <w:rsid w:val="00121F87"/>
    <w:rsid w:val="001250D8"/>
    <w:rsid w:val="00127A67"/>
    <w:rsid w:val="001310E7"/>
    <w:rsid w:val="00131186"/>
    <w:rsid w:val="00132878"/>
    <w:rsid w:val="00137CC0"/>
    <w:rsid w:val="001413AC"/>
    <w:rsid w:val="00141414"/>
    <w:rsid w:val="00142808"/>
    <w:rsid w:val="00142BF9"/>
    <w:rsid w:val="00144B3D"/>
    <w:rsid w:val="0015395D"/>
    <w:rsid w:val="00155034"/>
    <w:rsid w:val="00160593"/>
    <w:rsid w:val="00160B66"/>
    <w:rsid w:val="00162416"/>
    <w:rsid w:val="00162714"/>
    <w:rsid w:val="00163513"/>
    <w:rsid w:val="0016396C"/>
    <w:rsid w:val="001648C3"/>
    <w:rsid w:val="00164C4C"/>
    <w:rsid w:val="00166F06"/>
    <w:rsid w:val="00172464"/>
    <w:rsid w:val="00172978"/>
    <w:rsid w:val="00175DC9"/>
    <w:rsid w:val="00177083"/>
    <w:rsid w:val="0018054D"/>
    <w:rsid w:val="001821F5"/>
    <w:rsid w:val="00182E7C"/>
    <w:rsid w:val="0018511A"/>
    <w:rsid w:val="001856F6"/>
    <w:rsid w:val="001876D1"/>
    <w:rsid w:val="00190ADB"/>
    <w:rsid w:val="001956C6"/>
    <w:rsid w:val="001A1D6B"/>
    <w:rsid w:val="001A329E"/>
    <w:rsid w:val="001A448F"/>
    <w:rsid w:val="001A4AB8"/>
    <w:rsid w:val="001B2493"/>
    <w:rsid w:val="001B3194"/>
    <w:rsid w:val="001B51D8"/>
    <w:rsid w:val="001B58DF"/>
    <w:rsid w:val="001B61A9"/>
    <w:rsid w:val="001B61DF"/>
    <w:rsid w:val="001C04AD"/>
    <w:rsid w:val="001C4F77"/>
    <w:rsid w:val="001C7451"/>
    <w:rsid w:val="001D1681"/>
    <w:rsid w:val="001D2348"/>
    <w:rsid w:val="001D2B4D"/>
    <w:rsid w:val="001D516C"/>
    <w:rsid w:val="001D5B40"/>
    <w:rsid w:val="001E3798"/>
    <w:rsid w:val="001E7368"/>
    <w:rsid w:val="001E77D7"/>
    <w:rsid w:val="001E79C3"/>
    <w:rsid w:val="001F3449"/>
    <w:rsid w:val="001F49E3"/>
    <w:rsid w:val="0020482D"/>
    <w:rsid w:val="002059EE"/>
    <w:rsid w:val="00215948"/>
    <w:rsid w:val="00217692"/>
    <w:rsid w:val="002238D4"/>
    <w:rsid w:val="00224DD5"/>
    <w:rsid w:val="00225211"/>
    <w:rsid w:val="002258D1"/>
    <w:rsid w:val="002305EB"/>
    <w:rsid w:val="002319C5"/>
    <w:rsid w:val="00235862"/>
    <w:rsid w:val="00243CF2"/>
    <w:rsid w:val="00243E77"/>
    <w:rsid w:val="002460B6"/>
    <w:rsid w:val="002467C1"/>
    <w:rsid w:val="00250009"/>
    <w:rsid w:val="0025307D"/>
    <w:rsid w:val="002533EC"/>
    <w:rsid w:val="00253845"/>
    <w:rsid w:val="002544D1"/>
    <w:rsid w:val="002554ED"/>
    <w:rsid w:val="00261537"/>
    <w:rsid w:val="002635CA"/>
    <w:rsid w:val="002679B6"/>
    <w:rsid w:val="00274482"/>
    <w:rsid w:val="0027515F"/>
    <w:rsid w:val="00275AA3"/>
    <w:rsid w:val="00277A2C"/>
    <w:rsid w:val="00287DAD"/>
    <w:rsid w:val="00290922"/>
    <w:rsid w:val="00292F92"/>
    <w:rsid w:val="002935A1"/>
    <w:rsid w:val="00294F07"/>
    <w:rsid w:val="0029522D"/>
    <w:rsid w:val="002953D0"/>
    <w:rsid w:val="00295498"/>
    <w:rsid w:val="0029625C"/>
    <w:rsid w:val="0029789F"/>
    <w:rsid w:val="00297FFB"/>
    <w:rsid w:val="002A0F6A"/>
    <w:rsid w:val="002A4E55"/>
    <w:rsid w:val="002B037A"/>
    <w:rsid w:val="002B124F"/>
    <w:rsid w:val="002B1F5B"/>
    <w:rsid w:val="002B27C9"/>
    <w:rsid w:val="002B7C65"/>
    <w:rsid w:val="002C1196"/>
    <w:rsid w:val="002C128F"/>
    <w:rsid w:val="002C2977"/>
    <w:rsid w:val="002C38DC"/>
    <w:rsid w:val="002C745B"/>
    <w:rsid w:val="002C7A7A"/>
    <w:rsid w:val="002D2850"/>
    <w:rsid w:val="002D4D57"/>
    <w:rsid w:val="002E0C8F"/>
    <w:rsid w:val="002E1751"/>
    <w:rsid w:val="002E21FA"/>
    <w:rsid w:val="002E36F8"/>
    <w:rsid w:val="002E4309"/>
    <w:rsid w:val="002E5964"/>
    <w:rsid w:val="002E6600"/>
    <w:rsid w:val="002F2849"/>
    <w:rsid w:val="002F4045"/>
    <w:rsid w:val="002F41C6"/>
    <w:rsid w:val="00307AD6"/>
    <w:rsid w:val="00310B94"/>
    <w:rsid w:val="0031475B"/>
    <w:rsid w:val="00320529"/>
    <w:rsid w:val="003207B2"/>
    <w:rsid w:val="0032457A"/>
    <w:rsid w:val="00325EB5"/>
    <w:rsid w:val="00334B6F"/>
    <w:rsid w:val="003364E6"/>
    <w:rsid w:val="003369E1"/>
    <w:rsid w:val="00343691"/>
    <w:rsid w:val="00344A53"/>
    <w:rsid w:val="00345C3B"/>
    <w:rsid w:val="0034635D"/>
    <w:rsid w:val="00346E60"/>
    <w:rsid w:val="003567F9"/>
    <w:rsid w:val="003574DB"/>
    <w:rsid w:val="0036011A"/>
    <w:rsid w:val="003618C8"/>
    <w:rsid w:val="00361B3C"/>
    <w:rsid w:val="003627F2"/>
    <w:rsid w:val="00364DB6"/>
    <w:rsid w:val="00366973"/>
    <w:rsid w:val="00366993"/>
    <w:rsid w:val="003730F5"/>
    <w:rsid w:val="0037567B"/>
    <w:rsid w:val="0037659C"/>
    <w:rsid w:val="00377C0C"/>
    <w:rsid w:val="00381AA1"/>
    <w:rsid w:val="00381CD3"/>
    <w:rsid w:val="00383252"/>
    <w:rsid w:val="00384A1C"/>
    <w:rsid w:val="00385DA3"/>
    <w:rsid w:val="00390AA7"/>
    <w:rsid w:val="00390EAF"/>
    <w:rsid w:val="00391C5D"/>
    <w:rsid w:val="00392A3D"/>
    <w:rsid w:val="0039342F"/>
    <w:rsid w:val="00396ED2"/>
    <w:rsid w:val="0039736C"/>
    <w:rsid w:val="003A0798"/>
    <w:rsid w:val="003A2598"/>
    <w:rsid w:val="003A27E5"/>
    <w:rsid w:val="003A6504"/>
    <w:rsid w:val="003B1707"/>
    <w:rsid w:val="003B2B3B"/>
    <w:rsid w:val="003B2C98"/>
    <w:rsid w:val="003B4028"/>
    <w:rsid w:val="003B4E2D"/>
    <w:rsid w:val="003C3564"/>
    <w:rsid w:val="003C39CC"/>
    <w:rsid w:val="003C47FE"/>
    <w:rsid w:val="003C48B6"/>
    <w:rsid w:val="003D0D6F"/>
    <w:rsid w:val="003D480E"/>
    <w:rsid w:val="003D653F"/>
    <w:rsid w:val="003E2176"/>
    <w:rsid w:val="003E2EB9"/>
    <w:rsid w:val="003E403D"/>
    <w:rsid w:val="003E4512"/>
    <w:rsid w:val="003F4815"/>
    <w:rsid w:val="004052C6"/>
    <w:rsid w:val="004073AC"/>
    <w:rsid w:val="00407873"/>
    <w:rsid w:val="0041223B"/>
    <w:rsid w:val="004124FF"/>
    <w:rsid w:val="00413D90"/>
    <w:rsid w:val="00414DFA"/>
    <w:rsid w:val="0042217C"/>
    <w:rsid w:val="00423229"/>
    <w:rsid w:val="00424AC2"/>
    <w:rsid w:val="004304BF"/>
    <w:rsid w:val="004365E4"/>
    <w:rsid w:val="004368FD"/>
    <w:rsid w:val="00436913"/>
    <w:rsid w:val="00441269"/>
    <w:rsid w:val="00441744"/>
    <w:rsid w:val="004500D6"/>
    <w:rsid w:val="00450584"/>
    <w:rsid w:val="00453487"/>
    <w:rsid w:val="00453966"/>
    <w:rsid w:val="00453DF0"/>
    <w:rsid w:val="00454C77"/>
    <w:rsid w:val="004552A2"/>
    <w:rsid w:val="004610F3"/>
    <w:rsid w:val="00462510"/>
    <w:rsid w:val="004661AC"/>
    <w:rsid w:val="0046746F"/>
    <w:rsid w:val="0047039A"/>
    <w:rsid w:val="00470979"/>
    <w:rsid w:val="00471595"/>
    <w:rsid w:val="00474103"/>
    <w:rsid w:val="0048171A"/>
    <w:rsid w:val="0048296F"/>
    <w:rsid w:val="004860E5"/>
    <w:rsid w:val="00494B5C"/>
    <w:rsid w:val="004969FC"/>
    <w:rsid w:val="004A0649"/>
    <w:rsid w:val="004A0CCD"/>
    <w:rsid w:val="004A1675"/>
    <w:rsid w:val="004A3855"/>
    <w:rsid w:val="004A4FA5"/>
    <w:rsid w:val="004A559B"/>
    <w:rsid w:val="004A596E"/>
    <w:rsid w:val="004B0B55"/>
    <w:rsid w:val="004B5D25"/>
    <w:rsid w:val="004C0325"/>
    <w:rsid w:val="004C3224"/>
    <w:rsid w:val="004C3597"/>
    <w:rsid w:val="004C64E6"/>
    <w:rsid w:val="004C6C31"/>
    <w:rsid w:val="004C7062"/>
    <w:rsid w:val="004C7834"/>
    <w:rsid w:val="004D7007"/>
    <w:rsid w:val="004E2E4B"/>
    <w:rsid w:val="004E4CB7"/>
    <w:rsid w:val="004E65EF"/>
    <w:rsid w:val="004E7BFD"/>
    <w:rsid w:val="004F0192"/>
    <w:rsid w:val="004F01D8"/>
    <w:rsid w:val="004F2009"/>
    <w:rsid w:val="004F4D85"/>
    <w:rsid w:val="004F541B"/>
    <w:rsid w:val="005051B1"/>
    <w:rsid w:val="00505C08"/>
    <w:rsid w:val="00506C67"/>
    <w:rsid w:val="00507E03"/>
    <w:rsid w:val="005131DE"/>
    <w:rsid w:val="005131E3"/>
    <w:rsid w:val="0051397A"/>
    <w:rsid w:val="00514FAC"/>
    <w:rsid w:val="00517E52"/>
    <w:rsid w:val="0052040D"/>
    <w:rsid w:val="005216E8"/>
    <w:rsid w:val="005219C0"/>
    <w:rsid w:val="00522D72"/>
    <w:rsid w:val="0052304C"/>
    <w:rsid w:val="005268CF"/>
    <w:rsid w:val="00526B4D"/>
    <w:rsid w:val="00533C92"/>
    <w:rsid w:val="005360A2"/>
    <w:rsid w:val="00541B6B"/>
    <w:rsid w:val="00541EDC"/>
    <w:rsid w:val="00542246"/>
    <w:rsid w:val="00542616"/>
    <w:rsid w:val="0054264C"/>
    <w:rsid w:val="00543D9B"/>
    <w:rsid w:val="00544B34"/>
    <w:rsid w:val="00547600"/>
    <w:rsid w:val="00550E11"/>
    <w:rsid w:val="00551CA5"/>
    <w:rsid w:val="0055451A"/>
    <w:rsid w:val="00555839"/>
    <w:rsid w:val="005604BB"/>
    <w:rsid w:val="005615FB"/>
    <w:rsid w:val="00565175"/>
    <w:rsid w:val="0056526C"/>
    <w:rsid w:val="00565F67"/>
    <w:rsid w:val="00570BB3"/>
    <w:rsid w:val="005771B8"/>
    <w:rsid w:val="005801B7"/>
    <w:rsid w:val="00584216"/>
    <w:rsid w:val="005867AF"/>
    <w:rsid w:val="00587C07"/>
    <w:rsid w:val="0059318C"/>
    <w:rsid w:val="0059445E"/>
    <w:rsid w:val="00594CE3"/>
    <w:rsid w:val="005A198A"/>
    <w:rsid w:val="005A238A"/>
    <w:rsid w:val="005A3FC0"/>
    <w:rsid w:val="005A589F"/>
    <w:rsid w:val="005A6334"/>
    <w:rsid w:val="005A6414"/>
    <w:rsid w:val="005A7474"/>
    <w:rsid w:val="005B1969"/>
    <w:rsid w:val="005B1BBD"/>
    <w:rsid w:val="005B3E09"/>
    <w:rsid w:val="005B570C"/>
    <w:rsid w:val="005B58AF"/>
    <w:rsid w:val="005C0F1C"/>
    <w:rsid w:val="005C299F"/>
    <w:rsid w:val="005C4E34"/>
    <w:rsid w:val="005C4FE1"/>
    <w:rsid w:val="005C50B6"/>
    <w:rsid w:val="005C6B09"/>
    <w:rsid w:val="005D4CC7"/>
    <w:rsid w:val="005E2E79"/>
    <w:rsid w:val="005E35FD"/>
    <w:rsid w:val="005E4903"/>
    <w:rsid w:val="005E68E2"/>
    <w:rsid w:val="005F2914"/>
    <w:rsid w:val="005F4047"/>
    <w:rsid w:val="005F48AB"/>
    <w:rsid w:val="005F6DB8"/>
    <w:rsid w:val="005F78EB"/>
    <w:rsid w:val="005F7F70"/>
    <w:rsid w:val="00605026"/>
    <w:rsid w:val="00605F54"/>
    <w:rsid w:val="00606253"/>
    <w:rsid w:val="00606B3D"/>
    <w:rsid w:val="00607C0B"/>
    <w:rsid w:val="00607DAD"/>
    <w:rsid w:val="00610E06"/>
    <w:rsid w:val="00613A65"/>
    <w:rsid w:val="0061406A"/>
    <w:rsid w:val="006140FE"/>
    <w:rsid w:val="0061455D"/>
    <w:rsid w:val="00615A38"/>
    <w:rsid w:val="00615B28"/>
    <w:rsid w:val="006166C9"/>
    <w:rsid w:val="00620E20"/>
    <w:rsid w:val="00623988"/>
    <w:rsid w:val="00625FBE"/>
    <w:rsid w:val="00635A25"/>
    <w:rsid w:val="00636699"/>
    <w:rsid w:val="006422CA"/>
    <w:rsid w:val="00644181"/>
    <w:rsid w:val="0064434E"/>
    <w:rsid w:val="00656DCF"/>
    <w:rsid w:val="00673A41"/>
    <w:rsid w:val="00673BA2"/>
    <w:rsid w:val="00675BA7"/>
    <w:rsid w:val="00681D31"/>
    <w:rsid w:val="00682071"/>
    <w:rsid w:val="0068239A"/>
    <w:rsid w:val="006831C1"/>
    <w:rsid w:val="0068375F"/>
    <w:rsid w:val="00684C16"/>
    <w:rsid w:val="006855F1"/>
    <w:rsid w:val="0068791E"/>
    <w:rsid w:val="006914D9"/>
    <w:rsid w:val="00691AAB"/>
    <w:rsid w:val="00691ECC"/>
    <w:rsid w:val="00691FBF"/>
    <w:rsid w:val="0069473B"/>
    <w:rsid w:val="006A198A"/>
    <w:rsid w:val="006A52D4"/>
    <w:rsid w:val="006A73CB"/>
    <w:rsid w:val="006A73D8"/>
    <w:rsid w:val="006A74ED"/>
    <w:rsid w:val="006B06E8"/>
    <w:rsid w:val="006B08E3"/>
    <w:rsid w:val="006B1D7B"/>
    <w:rsid w:val="006B44C5"/>
    <w:rsid w:val="006B5031"/>
    <w:rsid w:val="006B79E2"/>
    <w:rsid w:val="006C184D"/>
    <w:rsid w:val="006C20A1"/>
    <w:rsid w:val="006C6CBA"/>
    <w:rsid w:val="006C783F"/>
    <w:rsid w:val="006C7878"/>
    <w:rsid w:val="006D1790"/>
    <w:rsid w:val="006D43A7"/>
    <w:rsid w:val="006D4E44"/>
    <w:rsid w:val="006D527F"/>
    <w:rsid w:val="006D64AE"/>
    <w:rsid w:val="006D6ED7"/>
    <w:rsid w:val="006E0F8B"/>
    <w:rsid w:val="006E2A87"/>
    <w:rsid w:val="006E3A14"/>
    <w:rsid w:val="006E44C2"/>
    <w:rsid w:val="006E4BE3"/>
    <w:rsid w:val="006E5271"/>
    <w:rsid w:val="006E5DF5"/>
    <w:rsid w:val="006F0FAC"/>
    <w:rsid w:val="006F2015"/>
    <w:rsid w:val="006F2E34"/>
    <w:rsid w:val="006F38CD"/>
    <w:rsid w:val="006F4DE3"/>
    <w:rsid w:val="006F5AD7"/>
    <w:rsid w:val="007006DC"/>
    <w:rsid w:val="00701AA9"/>
    <w:rsid w:val="00704836"/>
    <w:rsid w:val="00704DB8"/>
    <w:rsid w:val="00704F91"/>
    <w:rsid w:val="00705AAB"/>
    <w:rsid w:val="00710B10"/>
    <w:rsid w:val="007120D9"/>
    <w:rsid w:val="00713AB3"/>
    <w:rsid w:val="00716CEA"/>
    <w:rsid w:val="007174DA"/>
    <w:rsid w:val="007230DD"/>
    <w:rsid w:val="00725396"/>
    <w:rsid w:val="00725DCA"/>
    <w:rsid w:val="00730635"/>
    <w:rsid w:val="00735182"/>
    <w:rsid w:val="00736B7A"/>
    <w:rsid w:val="0073714C"/>
    <w:rsid w:val="00743CB6"/>
    <w:rsid w:val="00747098"/>
    <w:rsid w:val="00752D3E"/>
    <w:rsid w:val="0075358E"/>
    <w:rsid w:val="007544F9"/>
    <w:rsid w:val="0075506F"/>
    <w:rsid w:val="007617C8"/>
    <w:rsid w:val="0076202E"/>
    <w:rsid w:val="0076338F"/>
    <w:rsid w:val="00764075"/>
    <w:rsid w:val="00765D7D"/>
    <w:rsid w:val="00767550"/>
    <w:rsid w:val="007679B5"/>
    <w:rsid w:val="007706A8"/>
    <w:rsid w:val="0077097E"/>
    <w:rsid w:val="0077430A"/>
    <w:rsid w:val="007754E1"/>
    <w:rsid w:val="00776085"/>
    <w:rsid w:val="00783BF2"/>
    <w:rsid w:val="00785CA5"/>
    <w:rsid w:val="0078612C"/>
    <w:rsid w:val="00786552"/>
    <w:rsid w:val="00787552"/>
    <w:rsid w:val="00787B61"/>
    <w:rsid w:val="00787D2F"/>
    <w:rsid w:val="007913B4"/>
    <w:rsid w:val="007915BC"/>
    <w:rsid w:val="00794929"/>
    <w:rsid w:val="00794C64"/>
    <w:rsid w:val="00795877"/>
    <w:rsid w:val="007A54BD"/>
    <w:rsid w:val="007A74E7"/>
    <w:rsid w:val="007A7726"/>
    <w:rsid w:val="007A7F93"/>
    <w:rsid w:val="007B1EFC"/>
    <w:rsid w:val="007B3066"/>
    <w:rsid w:val="007B31DB"/>
    <w:rsid w:val="007B343F"/>
    <w:rsid w:val="007B7980"/>
    <w:rsid w:val="007D1569"/>
    <w:rsid w:val="007D17A2"/>
    <w:rsid w:val="007D31EA"/>
    <w:rsid w:val="007D3417"/>
    <w:rsid w:val="007D4699"/>
    <w:rsid w:val="007D53F5"/>
    <w:rsid w:val="007D679C"/>
    <w:rsid w:val="007D747E"/>
    <w:rsid w:val="007E2F6E"/>
    <w:rsid w:val="007E331C"/>
    <w:rsid w:val="007E7676"/>
    <w:rsid w:val="007F4246"/>
    <w:rsid w:val="007F4884"/>
    <w:rsid w:val="007F49E3"/>
    <w:rsid w:val="007F57FD"/>
    <w:rsid w:val="007F7EA7"/>
    <w:rsid w:val="00811E59"/>
    <w:rsid w:val="00812AC9"/>
    <w:rsid w:val="00813538"/>
    <w:rsid w:val="008163E2"/>
    <w:rsid w:val="00816E40"/>
    <w:rsid w:val="00821C2D"/>
    <w:rsid w:val="00824495"/>
    <w:rsid w:val="00825267"/>
    <w:rsid w:val="0082649E"/>
    <w:rsid w:val="00831449"/>
    <w:rsid w:val="00835540"/>
    <w:rsid w:val="00837E8A"/>
    <w:rsid w:val="00841742"/>
    <w:rsid w:val="00841DAB"/>
    <w:rsid w:val="00842C53"/>
    <w:rsid w:val="00843084"/>
    <w:rsid w:val="0084389B"/>
    <w:rsid w:val="00844FB5"/>
    <w:rsid w:val="008453F4"/>
    <w:rsid w:val="00846A93"/>
    <w:rsid w:val="00847707"/>
    <w:rsid w:val="0085341E"/>
    <w:rsid w:val="0085406F"/>
    <w:rsid w:val="008573B8"/>
    <w:rsid w:val="0086140C"/>
    <w:rsid w:val="008623EF"/>
    <w:rsid w:val="00862C98"/>
    <w:rsid w:val="00863ED4"/>
    <w:rsid w:val="0086567E"/>
    <w:rsid w:val="00867B7F"/>
    <w:rsid w:val="0087164F"/>
    <w:rsid w:val="008737E1"/>
    <w:rsid w:val="00875AA9"/>
    <w:rsid w:val="00885830"/>
    <w:rsid w:val="00887964"/>
    <w:rsid w:val="00890E6E"/>
    <w:rsid w:val="00891ABF"/>
    <w:rsid w:val="00892324"/>
    <w:rsid w:val="0089668E"/>
    <w:rsid w:val="00897A70"/>
    <w:rsid w:val="008A018F"/>
    <w:rsid w:val="008A5C69"/>
    <w:rsid w:val="008B220A"/>
    <w:rsid w:val="008B45F0"/>
    <w:rsid w:val="008B485A"/>
    <w:rsid w:val="008B5791"/>
    <w:rsid w:val="008B5FC8"/>
    <w:rsid w:val="008B67B6"/>
    <w:rsid w:val="008C371D"/>
    <w:rsid w:val="008C4773"/>
    <w:rsid w:val="008C49AB"/>
    <w:rsid w:val="008C4E8D"/>
    <w:rsid w:val="008C5B62"/>
    <w:rsid w:val="008C7AEF"/>
    <w:rsid w:val="008D160F"/>
    <w:rsid w:val="008D2827"/>
    <w:rsid w:val="008D3799"/>
    <w:rsid w:val="008D563E"/>
    <w:rsid w:val="008E22FE"/>
    <w:rsid w:val="008E478F"/>
    <w:rsid w:val="008E6847"/>
    <w:rsid w:val="008E7E28"/>
    <w:rsid w:val="008F16CE"/>
    <w:rsid w:val="008F28CE"/>
    <w:rsid w:val="008F546F"/>
    <w:rsid w:val="008F6D01"/>
    <w:rsid w:val="008F6F69"/>
    <w:rsid w:val="00904642"/>
    <w:rsid w:val="00905F3B"/>
    <w:rsid w:val="0090678F"/>
    <w:rsid w:val="009072C8"/>
    <w:rsid w:val="00913128"/>
    <w:rsid w:val="00913441"/>
    <w:rsid w:val="009144F2"/>
    <w:rsid w:val="00915603"/>
    <w:rsid w:val="00917881"/>
    <w:rsid w:val="009268C5"/>
    <w:rsid w:val="00933517"/>
    <w:rsid w:val="00933FDE"/>
    <w:rsid w:val="00942DD0"/>
    <w:rsid w:val="00943E8A"/>
    <w:rsid w:val="0094547D"/>
    <w:rsid w:val="00945E6E"/>
    <w:rsid w:val="009520C2"/>
    <w:rsid w:val="00953D6D"/>
    <w:rsid w:val="009549DF"/>
    <w:rsid w:val="00954C8B"/>
    <w:rsid w:val="00961B52"/>
    <w:rsid w:val="00962E87"/>
    <w:rsid w:val="00963CEF"/>
    <w:rsid w:val="00964EC4"/>
    <w:rsid w:val="00964FF0"/>
    <w:rsid w:val="0096691F"/>
    <w:rsid w:val="00970586"/>
    <w:rsid w:val="00970906"/>
    <w:rsid w:val="00971229"/>
    <w:rsid w:val="0097288F"/>
    <w:rsid w:val="00980500"/>
    <w:rsid w:val="009821D5"/>
    <w:rsid w:val="00984E97"/>
    <w:rsid w:val="00985966"/>
    <w:rsid w:val="00985F71"/>
    <w:rsid w:val="009863C4"/>
    <w:rsid w:val="00986582"/>
    <w:rsid w:val="00986F0D"/>
    <w:rsid w:val="00992042"/>
    <w:rsid w:val="009A224E"/>
    <w:rsid w:val="009A7690"/>
    <w:rsid w:val="009B19BA"/>
    <w:rsid w:val="009B24DD"/>
    <w:rsid w:val="009B296E"/>
    <w:rsid w:val="009B5535"/>
    <w:rsid w:val="009B5929"/>
    <w:rsid w:val="009B5F58"/>
    <w:rsid w:val="009C0CC1"/>
    <w:rsid w:val="009C10C0"/>
    <w:rsid w:val="009C1FDB"/>
    <w:rsid w:val="009C2A14"/>
    <w:rsid w:val="009C43E2"/>
    <w:rsid w:val="009C7141"/>
    <w:rsid w:val="009D1AD4"/>
    <w:rsid w:val="009D3C41"/>
    <w:rsid w:val="009D7C58"/>
    <w:rsid w:val="009E29F4"/>
    <w:rsid w:val="009E2A2F"/>
    <w:rsid w:val="009E3E6B"/>
    <w:rsid w:val="009E3FE7"/>
    <w:rsid w:val="009E4C36"/>
    <w:rsid w:val="009E608F"/>
    <w:rsid w:val="009F0058"/>
    <w:rsid w:val="009F0F93"/>
    <w:rsid w:val="009F2669"/>
    <w:rsid w:val="009F3FF2"/>
    <w:rsid w:val="009F4402"/>
    <w:rsid w:val="009F5DBF"/>
    <w:rsid w:val="00A0242A"/>
    <w:rsid w:val="00A02DD0"/>
    <w:rsid w:val="00A0500F"/>
    <w:rsid w:val="00A054D8"/>
    <w:rsid w:val="00A05B82"/>
    <w:rsid w:val="00A06B0A"/>
    <w:rsid w:val="00A07CBD"/>
    <w:rsid w:val="00A107C9"/>
    <w:rsid w:val="00A137FD"/>
    <w:rsid w:val="00A13D0D"/>
    <w:rsid w:val="00A1728C"/>
    <w:rsid w:val="00A20ABB"/>
    <w:rsid w:val="00A21A71"/>
    <w:rsid w:val="00A21DA5"/>
    <w:rsid w:val="00A2265F"/>
    <w:rsid w:val="00A2350E"/>
    <w:rsid w:val="00A2351A"/>
    <w:rsid w:val="00A23935"/>
    <w:rsid w:val="00A23E1B"/>
    <w:rsid w:val="00A24B2F"/>
    <w:rsid w:val="00A263B8"/>
    <w:rsid w:val="00A274B8"/>
    <w:rsid w:val="00A31A08"/>
    <w:rsid w:val="00A32370"/>
    <w:rsid w:val="00A32440"/>
    <w:rsid w:val="00A32E35"/>
    <w:rsid w:val="00A428F8"/>
    <w:rsid w:val="00A44F12"/>
    <w:rsid w:val="00A517D7"/>
    <w:rsid w:val="00A5336C"/>
    <w:rsid w:val="00A54B03"/>
    <w:rsid w:val="00A605F0"/>
    <w:rsid w:val="00A61B39"/>
    <w:rsid w:val="00A6405C"/>
    <w:rsid w:val="00A644E2"/>
    <w:rsid w:val="00A66E20"/>
    <w:rsid w:val="00A71D39"/>
    <w:rsid w:val="00A73F51"/>
    <w:rsid w:val="00A740FF"/>
    <w:rsid w:val="00A77E36"/>
    <w:rsid w:val="00A85559"/>
    <w:rsid w:val="00A93F78"/>
    <w:rsid w:val="00A951FF"/>
    <w:rsid w:val="00A9588C"/>
    <w:rsid w:val="00A95A42"/>
    <w:rsid w:val="00A96A26"/>
    <w:rsid w:val="00A97AF6"/>
    <w:rsid w:val="00AA1ACD"/>
    <w:rsid w:val="00AA4231"/>
    <w:rsid w:val="00AA48D6"/>
    <w:rsid w:val="00AA5B3C"/>
    <w:rsid w:val="00AB6060"/>
    <w:rsid w:val="00AB62F9"/>
    <w:rsid w:val="00AB63F7"/>
    <w:rsid w:val="00AB6991"/>
    <w:rsid w:val="00AC05F9"/>
    <w:rsid w:val="00AC1C21"/>
    <w:rsid w:val="00AC2F18"/>
    <w:rsid w:val="00AC3661"/>
    <w:rsid w:val="00AC4D99"/>
    <w:rsid w:val="00AC6F0C"/>
    <w:rsid w:val="00AC76F4"/>
    <w:rsid w:val="00AD36C1"/>
    <w:rsid w:val="00AD7DBE"/>
    <w:rsid w:val="00AE0DA5"/>
    <w:rsid w:val="00AE2804"/>
    <w:rsid w:val="00AE6142"/>
    <w:rsid w:val="00AF35A6"/>
    <w:rsid w:val="00AF43C2"/>
    <w:rsid w:val="00AF47CF"/>
    <w:rsid w:val="00AF6A6A"/>
    <w:rsid w:val="00B009E5"/>
    <w:rsid w:val="00B01C83"/>
    <w:rsid w:val="00B0454D"/>
    <w:rsid w:val="00B05266"/>
    <w:rsid w:val="00B1040E"/>
    <w:rsid w:val="00B118BC"/>
    <w:rsid w:val="00B14A19"/>
    <w:rsid w:val="00B20A0A"/>
    <w:rsid w:val="00B210C6"/>
    <w:rsid w:val="00B24543"/>
    <w:rsid w:val="00B2585E"/>
    <w:rsid w:val="00B30037"/>
    <w:rsid w:val="00B32639"/>
    <w:rsid w:val="00B34131"/>
    <w:rsid w:val="00B36653"/>
    <w:rsid w:val="00B36CEB"/>
    <w:rsid w:val="00B377C1"/>
    <w:rsid w:val="00B42631"/>
    <w:rsid w:val="00B449D8"/>
    <w:rsid w:val="00B45CA8"/>
    <w:rsid w:val="00B46367"/>
    <w:rsid w:val="00B46887"/>
    <w:rsid w:val="00B46D4E"/>
    <w:rsid w:val="00B47070"/>
    <w:rsid w:val="00B47D59"/>
    <w:rsid w:val="00B50365"/>
    <w:rsid w:val="00B51F7E"/>
    <w:rsid w:val="00B53688"/>
    <w:rsid w:val="00B54426"/>
    <w:rsid w:val="00B54995"/>
    <w:rsid w:val="00B62E7A"/>
    <w:rsid w:val="00B64C7C"/>
    <w:rsid w:val="00B7230B"/>
    <w:rsid w:val="00B771F8"/>
    <w:rsid w:val="00B8221E"/>
    <w:rsid w:val="00B91074"/>
    <w:rsid w:val="00B9315F"/>
    <w:rsid w:val="00B938C8"/>
    <w:rsid w:val="00B946A2"/>
    <w:rsid w:val="00B9511F"/>
    <w:rsid w:val="00B9593B"/>
    <w:rsid w:val="00BA19FA"/>
    <w:rsid w:val="00BA1BB5"/>
    <w:rsid w:val="00BA24D4"/>
    <w:rsid w:val="00BA3FF9"/>
    <w:rsid w:val="00BA50C3"/>
    <w:rsid w:val="00BA67E8"/>
    <w:rsid w:val="00BA7F30"/>
    <w:rsid w:val="00BB0C70"/>
    <w:rsid w:val="00BB30CD"/>
    <w:rsid w:val="00BC05B8"/>
    <w:rsid w:val="00BC07C3"/>
    <w:rsid w:val="00BC1DB3"/>
    <w:rsid w:val="00BC366B"/>
    <w:rsid w:val="00BD093B"/>
    <w:rsid w:val="00BD0964"/>
    <w:rsid w:val="00BD7B14"/>
    <w:rsid w:val="00BE0F43"/>
    <w:rsid w:val="00BE1000"/>
    <w:rsid w:val="00BF12C5"/>
    <w:rsid w:val="00BF28DC"/>
    <w:rsid w:val="00BF31AC"/>
    <w:rsid w:val="00BF4612"/>
    <w:rsid w:val="00BF63C8"/>
    <w:rsid w:val="00BF6A9E"/>
    <w:rsid w:val="00BF7CC7"/>
    <w:rsid w:val="00BF7F75"/>
    <w:rsid w:val="00C034D4"/>
    <w:rsid w:val="00C04162"/>
    <w:rsid w:val="00C055B3"/>
    <w:rsid w:val="00C06ACF"/>
    <w:rsid w:val="00C13399"/>
    <w:rsid w:val="00C13D7E"/>
    <w:rsid w:val="00C224F2"/>
    <w:rsid w:val="00C24198"/>
    <w:rsid w:val="00C265E9"/>
    <w:rsid w:val="00C3156D"/>
    <w:rsid w:val="00C34052"/>
    <w:rsid w:val="00C34A58"/>
    <w:rsid w:val="00C34AF2"/>
    <w:rsid w:val="00C35666"/>
    <w:rsid w:val="00C40E1F"/>
    <w:rsid w:val="00C45891"/>
    <w:rsid w:val="00C500CA"/>
    <w:rsid w:val="00C52D8B"/>
    <w:rsid w:val="00C55E46"/>
    <w:rsid w:val="00C628EF"/>
    <w:rsid w:val="00C65918"/>
    <w:rsid w:val="00C66418"/>
    <w:rsid w:val="00C66D93"/>
    <w:rsid w:val="00C713C5"/>
    <w:rsid w:val="00C71867"/>
    <w:rsid w:val="00C71E2F"/>
    <w:rsid w:val="00C71F9D"/>
    <w:rsid w:val="00C725A1"/>
    <w:rsid w:val="00C73DAA"/>
    <w:rsid w:val="00C74406"/>
    <w:rsid w:val="00C74472"/>
    <w:rsid w:val="00C74930"/>
    <w:rsid w:val="00C751E8"/>
    <w:rsid w:val="00C75F55"/>
    <w:rsid w:val="00C81688"/>
    <w:rsid w:val="00C863C5"/>
    <w:rsid w:val="00C86A5F"/>
    <w:rsid w:val="00C92672"/>
    <w:rsid w:val="00C95B56"/>
    <w:rsid w:val="00C97970"/>
    <w:rsid w:val="00CA0245"/>
    <w:rsid w:val="00CA4735"/>
    <w:rsid w:val="00CA4F2F"/>
    <w:rsid w:val="00CA6302"/>
    <w:rsid w:val="00CA683F"/>
    <w:rsid w:val="00CA7C4B"/>
    <w:rsid w:val="00CB08B4"/>
    <w:rsid w:val="00CB1DBC"/>
    <w:rsid w:val="00CB22BA"/>
    <w:rsid w:val="00CB4D4F"/>
    <w:rsid w:val="00CB6D54"/>
    <w:rsid w:val="00CC1340"/>
    <w:rsid w:val="00CC4034"/>
    <w:rsid w:val="00CC4158"/>
    <w:rsid w:val="00CC5860"/>
    <w:rsid w:val="00CC7AF4"/>
    <w:rsid w:val="00CC7CBA"/>
    <w:rsid w:val="00CD48B8"/>
    <w:rsid w:val="00CE0B60"/>
    <w:rsid w:val="00CE36DC"/>
    <w:rsid w:val="00CE3D4E"/>
    <w:rsid w:val="00CE530B"/>
    <w:rsid w:val="00CE74DB"/>
    <w:rsid w:val="00CF088D"/>
    <w:rsid w:val="00CF33D7"/>
    <w:rsid w:val="00CF50FA"/>
    <w:rsid w:val="00CF575E"/>
    <w:rsid w:val="00CF6D4A"/>
    <w:rsid w:val="00D00FC6"/>
    <w:rsid w:val="00D01FAA"/>
    <w:rsid w:val="00D02A9F"/>
    <w:rsid w:val="00D03FDF"/>
    <w:rsid w:val="00D04974"/>
    <w:rsid w:val="00D065D3"/>
    <w:rsid w:val="00D0722A"/>
    <w:rsid w:val="00D10874"/>
    <w:rsid w:val="00D1323C"/>
    <w:rsid w:val="00D16582"/>
    <w:rsid w:val="00D168FD"/>
    <w:rsid w:val="00D16A54"/>
    <w:rsid w:val="00D16D6A"/>
    <w:rsid w:val="00D172B6"/>
    <w:rsid w:val="00D2203A"/>
    <w:rsid w:val="00D22B73"/>
    <w:rsid w:val="00D263F1"/>
    <w:rsid w:val="00D27F89"/>
    <w:rsid w:val="00D30052"/>
    <w:rsid w:val="00D3019E"/>
    <w:rsid w:val="00D30754"/>
    <w:rsid w:val="00D318EE"/>
    <w:rsid w:val="00D3275E"/>
    <w:rsid w:val="00D33D64"/>
    <w:rsid w:val="00D3552C"/>
    <w:rsid w:val="00D430E1"/>
    <w:rsid w:val="00D43B72"/>
    <w:rsid w:val="00D4514B"/>
    <w:rsid w:val="00D4516C"/>
    <w:rsid w:val="00D4689E"/>
    <w:rsid w:val="00D47E50"/>
    <w:rsid w:val="00D520D9"/>
    <w:rsid w:val="00D543E5"/>
    <w:rsid w:val="00D5591D"/>
    <w:rsid w:val="00D56C01"/>
    <w:rsid w:val="00D57F33"/>
    <w:rsid w:val="00D631FE"/>
    <w:rsid w:val="00D654E1"/>
    <w:rsid w:val="00D700BF"/>
    <w:rsid w:val="00D70929"/>
    <w:rsid w:val="00D7140F"/>
    <w:rsid w:val="00D77F08"/>
    <w:rsid w:val="00D80AB1"/>
    <w:rsid w:val="00D814C6"/>
    <w:rsid w:val="00D81530"/>
    <w:rsid w:val="00D819E6"/>
    <w:rsid w:val="00D905D2"/>
    <w:rsid w:val="00D93013"/>
    <w:rsid w:val="00D93ED5"/>
    <w:rsid w:val="00D97056"/>
    <w:rsid w:val="00D9720D"/>
    <w:rsid w:val="00D97647"/>
    <w:rsid w:val="00DA12A3"/>
    <w:rsid w:val="00DA43CD"/>
    <w:rsid w:val="00DA62E5"/>
    <w:rsid w:val="00DA6DCB"/>
    <w:rsid w:val="00DB06CE"/>
    <w:rsid w:val="00DB2419"/>
    <w:rsid w:val="00DB2474"/>
    <w:rsid w:val="00DB2B1E"/>
    <w:rsid w:val="00DB2EF4"/>
    <w:rsid w:val="00DC0125"/>
    <w:rsid w:val="00DC045C"/>
    <w:rsid w:val="00DC14E3"/>
    <w:rsid w:val="00DC5EB7"/>
    <w:rsid w:val="00DD0FB5"/>
    <w:rsid w:val="00DD27CF"/>
    <w:rsid w:val="00DD281F"/>
    <w:rsid w:val="00DE2CD2"/>
    <w:rsid w:val="00DE35B2"/>
    <w:rsid w:val="00DE3D02"/>
    <w:rsid w:val="00DF24A1"/>
    <w:rsid w:val="00DF3EF2"/>
    <w:rsid w:val="00DF58EF"/>
    <w:rsid w:val="00E034E9"/>
    <w:rsid w:val="00E04A8F"/>
    <w:rsid w:val="00E06D34"/>
    <w:rsid w:val="00E11AEA"/>
    <w:rsid w:val="00E17587"/>
    <w:rsid w:val="00E17623"/>
    <w:rsid w:val="00E17755"/>
    <w:rsid w:val="00E21079"/>
    <w:rsid w:val="00E23A40"/>
    <w:rsid w:val="00E303CD"/>
    <w:rsid w:val="00E30F7C"/>
    <w:rsid w:val="00E314EE"/>
    <w:rsid w:val="00E33437"/>
    <w:rsid w:val="00E37E41"/>
    <w:rsid w:val="00E446D5"/>
    <w:rsid w:val="00E470FC"/>
    <w:rsid w:val="00E474D6"/>
    <w:rsid w:val="00E47D74"/>
    <w:rsid w:val="00E50E3D"/>
    <w:rsid w:val="00E51CC4"/>
    <w:rsid w:val="00E567F5"/>
    <w:rsid w:val="00E6364B"/>
    <w:rsid w:val="00E665E6"/>
    <w:rsid w:val="00E706D7"/>
    <w:rsid w:val="00E71EDA"/>
    <w:rsid w:val="00E74418"/>
    <w:rsid w:val="00E74425"/>
    <w:rsid w:val="00E75BC3"/>
    <w:rsid w:val="00E77830"/>
    <w:rsid w:val="00E8069A"/>
    <w:rsid w:val="00E83AA7"/>
    <w:rsid w:val="00E86F32"/>
    <w:rsid w:val="00E87B23"/>
    <w:rsid w:val="00E90BA8"/>
    <w:rsid w:val="00E921FD"/>
    <w:rsid w:val="00E942C4"/>
    <w:rsid w:val="00E95841"/>
    <w:rsid w:val="00E9607B"/>
    <w:rsid w:val="00E961AA"/>
    <w:rsid w:val="00E97677"/>
    <w:rsid w:val="00E97BE4"/>
    <w:rsid w:val="00EA2281"/>
    <w:rsid w:val="00EA40F7"/>
    <w:rsid w:val="00EB09D8"/>
    <w:rsid w:val="00EB1D31"/>
    <w:rsid w:val="00EB370F"/>
    <w:rsid w:val="00EB5715"/>
    <w:rsid w:val="00EB6DFD"/>
    <w:rsid w:val="00EC1C8D"/>
    <w:rsid w:val="00EC2916"/>
    <w:rsid w:val="00EC4D3E"/>
    <w:rsid w:val="00EC5E2D"/>
    <w:rsid w:val="00ED0016"/>
    <w:rsid w:val="00ED057F"/>
    <w:rsid w:val="00ED43F7"/>
    <w:rsid w:val="00ED5E1B"/>
    <w:rsid w:val="00EE2C76"/>
    <w:rsid w:val="00EE375A"/>
    <w:rsid w:val="00EE63E1"/>
    <w:rsid w:val="00EE6F35"/>
    <w:rsid w:val="00EE74A5"/>
    <w:rsid w:val="00EF028E"/>
    <w:rsid w:val="00EF4E80"/>
    <w:rsid w:val="00EF6146"/>
    <w:rsid w:val="00EF79CD"/>
    <w:rsid w:val="00F017AA"/>
    <w:rsid w:val="00F01B50"/>
    <w:rsid w:val="00F01BFA"/>
    <w:rsid w:val="00F06393"/>
    <w:rsid w:val="00F0743E"/>
    <w:rsid w:val="00F140A9"/>
    <w:rsid w:val="00F170F5"/>
    <w:rsid w:val="00F21511"/>
    <w:rsid w:val="00F21FD4"/>
    <w:rsid w:val="00F2549A"/>
    <w:rsid w:val="00F32AAE"/>
    <w:rsid w:val="00F32D62"/>
    <w:rsid w:val="00F33078"/>
    <w:rsid w:val="00F35C54"/>
    <w:rsid w:val="00F42601"/>
    <w:rsid w:val="00F43CE6"/>
    <w:rsid w:val="00F448D4"/>
    <w:rsid w:val="00F45DE3"/>
    <w:rsid w:val="00F4682E"/>
    <w:rsid w:val="00F478F9"/>
    <w:rsid w:val="00F50530"/>
    <w:rsid w:val="00F50B72"/>
    <w:rsid w:val="00F50ED1"/>
    <w:rsid w:val="00F5239F"/>
    <w:rsid w:val="00F622B6"/>
    <w:rsid w:val="00F62FA8"/>
    <w:rsid w:val="00F63575"/>
    <w:rsid w:val="00F67BC9"/>
    <w:rsid w:val="00F67C91"/>
    <w:rsid w:val="00F70F54"/>
    <w:rsid w:val="00F71735"/>
    <w:rsid w:val="00F76F24"/>
    <w:rsid w:val="00F81F27"/>
    <w:rsid w:val="00F83857"/>
    <w:rsid w:val="00F86D73"/>
    <w:rsid w:val="00F90926"/>
    <w:rsid w:val="00F940A0"/>
    <w:rsid w:val="00F94D7B"/>
    <w:rsid w:val="00F9622D"/>
    <w:rsid w:val="00FA6EA5"/>
    <w:rsid w:val="00FB4E05"/>
    <w:rsid w:val="00FB64C7"/>
    <w:rsid w:val="00FB663C"/>
    <w:rsid w:val="00FC0323"/>
    <w:rsid w:val="00FC2B17"/>
    <w:rsid w:val="00FC5F1A"/>
    <w:rsid w:val="00FD1530"/>
    <w:rsid w:val="00FD483F"/>
    <w:rsid w:val="00FD653D"/>
    <w:rsid w:val="00FD741E"/>
    <w:rsid w:val="00FE1BCE"/>
    <w:rsid w:val="00FF2418"/>
    <w:rsid w:val="00FF3929"/>
    <w:rsid w:val="00FF749F"/>
    <w:rsid w:val="010121B4"/>
    <w:rsid w:val="01133753"/>
    <w:rsid w:val="011C0FF8"/>
    <w:rsid w:val="011F4755"/>
    <w:rsid w:val="012F3F7C"/>
    <w:rsid w:val="017C26C1"/>
    <w:rsid w:val="01CF736E"/>
    <w:rsid w:val="025A21B2"/>
    <w:rsid w:val="025E466E"/>
    <w:rsid w:val="02985ED1"/>
    <w:rsid w:val="02A837E9"/>
    <w:rsid w:val="02B73E03"/>
    <w:rsid w:val="02DA6D6A"/>
    <w:rsid w:val="02DF2025"/>
    <w:rsid w:val="03056101"/>
    <w:rsid w:val="03163E1D"/>
    <w:rsid w:val="03256371"/>
    <w:rsid w:val="032D68C3"/>
    <w:rsid w:val="0333635B"/>
    <w:rsid w:val="035D37EA"/>
    <w:rsid w:val="037164C4"/>
    <w:rsid w:val="03764262"/>
    <w:rsid w:val="03EA7678"/>
    <w:rsid w:val="04044BE3"/>
    <w:rsid w:val="0464670D"/>
    <w:rsid w:val="04692EAF"/>
    <w:rsid w:val="04BA44CE"/>
    <w:rsid w:val="04C035DB"/>
    <w:rsid w:val="04E50427"/>
    <w:rsid w:val="050155E9"/>
    <w:rsid w:val="0539061F"/>
    <w:rsid w:val="054953DA"/>
    <w:rsid w:val="05500244"/>
    <w:rsid w:val="05B27BAD"/>
    <w:rsid w:val="05C43A86"/>
    <w:rsid w:val="05E57FFF"/>
    <w:rsid w:val="06104B20"/>
    <w:rsid w:val="06223E20"/>
    <w:rsid w:val="062D7C32"/>
    <w:rsid w:val="064E42E2"/>
    <w:rsid w:val="06946F06"/>
    <w:rsid w:val="06C05FAB"/>
    <w:rsid w:val="06E076D6"/>
    <w:rsid w:val="07040B8F"/>
    <w:rsid w:val="071163A2"/>
    <w:rsid w:val="076B1EF0"/>
    <w:rsid w:val="07853B87"/>
    <w:rsid w:val="07983134"/>
    <w:rsid w:val="07C22EDA"/>
    <w:rsid w:val="07E555B3"/>
    <w:rsid w:val="07FC1127"/>
    <w:rsid w:val="080C13C2"/>
    <w:rsid w:val="086624EC"/>
    <w:rsid w:val="086D0AD3"/>
    <w:rsid w:val="08D97CBB"/>
    <w:rsid w:val="0910796B"/>
    <w:rsid w:val="093446A7"/>
    <w:rsid w:val="09410948"/>
    <w:rsid w:val="094B42CC"/>
    <w:rsid w:val="09622743"/>
    <w:rsid w:val="096D7D04"/>
    <w:rsid w:val="09711729"/>
    <w:rsid w:val="098205F5"/>
    <w:rsid w:val="0984572B"/>
    <w:rsid w:val="09902FE9"/>
    <w:rsid w:val="09AC7A5A"/>
    <w:rsid w:val="09AF2C35"/>
    <w:rsid w:val="0A152358"/>
    <w:rsid w:val="0A421C06"/>
    <w:rsid w:val="0A456833"/>
    <w:rsid w:val="0A71039E"/>
    <w:rsid w:val="0A8E365F"/>
    <w:rsid w:val="0A9D57A3"/>
    <w:rsid w:val="0AA2487E"/>
    <w:rsid w:val="0AD9119F"/>
    <w:rsid w:val="0AF5210A"/>
    <w:rsid w:val="0B0056DA"/>
    <w:rsid w:val="0B246659"/>
    <w:rsid w:val="0B5C2DB3"/>
    <w:rsid w:val="0B664089"/>
    <w:rsid w:val="0B6658C1"/>
    <w:rsid w:val="0B666755"/>
    <w:rsid w:val="0B8528F2"/>
    <w:rsid w:val="0B9362DF"/>
    <w:rsid w:val="0BBC3FAD"/>
    <w:rsid w:val="0BCD436B"/>
    <w:rsid w:val="0BCF786E"/>
    <w:rsid w:val="0C085D62"/>
    <w:rsid w:val="0C0B585A"/>
    <w:rsid w:val="0C116898"/>
    <w:rsid w:val="0C1F6C93"/>
    <w:rsid w:val="0C683F0B"/>
    <w:rsid w:val="0C783B76"/>
    <w:rsid w:val="0C79253B"/>
    <w:rsid w:val="0C7927C4"/>
    <w:rsid w:val="0C911B2B"/>
    <w:rsid w:val="0CAB373F"/>
    <w:rsid w:val="0CF94109"/>
    <w:rsid w:val="0D107E7B"/>
    <w:rsid w:val="0D185287"/>
    <w:rsid w:val="0D2766C4"/>
    <w:rsid w:val="0D34161D"/>
    <w:rsid w:val="0D5D48BA"/>
    <w:rsid w:val="0DDB0848"/>
    <w:rsid w:val="0E0E51A9"/>
    <w:rsid w:val="0E14552A"/>
    <w:rsid w:val="0E1A36C6"/>
    <w:rsid w:val="0E202F4A"/>
    <w:rsid w:val="0E203897"/>
    <w:rsid w:val="0E336CD8"/>
    <w:rsid w:val="0E377A6B"/>
    <w:rsid w:val="0E4D3106"/>
    <w:rsid w:val="0E7616B1"/>
    <w:rsid w:val="0E8A6525"/>
    <w:rsid w:val="0E972280"/>
    <w:rsid w:val="0ED54151"/>
    <w:rsid w:val="0EDF1180"/>
    <w:rsid w:val="0EF6009B"/>
    <w:rsid w:val="0F0F6660"/>
    <w:rsid w:val="0F75504B"/>
    <w:rsid w:val="0F9F2C50"/>
    <w:rsid w:val="0FA923E3"/>
    <w:rsid w:val="0FB451A9"/>
    <w:rsid w:val="0FC05C73"/>
    <w:rsid w:val="0FE4669F"/>
    <w:rsid w:val="0FF10DD3"/>
    <w:rsid w:val="101A0E45"/>
    <w:rsid w:val="10223F85"/>
    <w:rsid w:val="10347723"/>
    <w:rsid w:val="10392996"/>
    <w:rsid w:val="103B70AE"/>
    <w:rsid w:val="10887D92"/>
    <w:rsid w:val="108C4DF2"/>
    <w:rsid w:val="1093484A"/>
    <w:rsid w:val="10BC1C89"/>
    <w:rsid w:val="1102547E"/>
    <w:rsid w:val="112812B5"/>
    <w:rsid w:val="112934B3"/>
    <w:rsid w:val="113301CC"/>
    <w:rsid w:val="113D2984"/>
    <w:rsid w:val="119612B5"/>
    <w:rsid w:val="119D51A7"/>
    <w:rsid w:val="11C314B3"/>
    <w:rsid w:val="11CB0AF9"/>
    <w:rsid w:val="11D2540D"/>
    <w:rsid w:val="121015B2"/>
    <w:rsid w:val="12686151"/>
    <w:rsid w:val="127C4DBC"/>
    <w:rsid w:val="128123D2"/>
    <w:rsid w:val="128227EB"/>
    <w:rsid w:val="12BF2650"/>
    <w:rsid w:val="12C51B43"/>
    <w:rsid w:val="12E219A1"/>
    <w:rsid w:val="12E3158A"/>
    <w:rsid w:val="13021236"/>
    <w:rsid w:val="130265BC"/>
    <w:rsid w:val="13031383"/>
    <w:rsid w:val="131D07EE"/>
    <w:rsid w:val="132B7780"/>
    <w:rsid w:val="136043D7"/>
    <w:rsid w:val="13A9697F"/>
    <w:rsid w:val="13D80B9E"/>
    <w:rsid w:val="13E57956"/>
    <w:rsid w:val="13F671B7"/>
    <w:rsid w:val="14000A5D"/>
    <w:rsid w:val="141A28BF"/>
    <w:rsid w:val="141F0D7B"/>
    <w:rsid w:val="1427091D"/>
    <w:rsid w:val="146C6191"/>
    <w:rsid w:val="148E0663"/>
    <w:rsid w:val="148F7B0B"/>
    <w:rsid w:val="14C11485"/>
    <w:rsid w:val="14C87B63"/>
    <w:rsid w:val="14CE23B0"/>
    <w:rsid w:val="14E15C16"/>
    <w:rsid w:val="1527593A"/>
    <w:rsid w:val="152C1214"/>
    <w:rsid w:val="153E0863"/>
    <w:rsid w:val="157B74B9"/>
    <w:rsid w:val="158201D6"/>
    <w:rsid w:val="159B19FD"/>
    <w:rsid w:val="15A10189"/>
    <w:rsid w:val="15A93224"/>
    <w:rsid w:val="15B7232D"/>
    <w:rsid w:val="15DC6CEA"/>
    <w:rsid w:val="15F23C81"/>
    <w:rsid w:val="16196B4E"/>
    <w:rsid w:val="16297009"/>
    <w:rsid w:val="16341072"/>
    <w:rsid w:val="1682138E"/>
    <w:rsid w:val="16873B19"/>
    <w:rsid w:val="168A62F6"/>
    <w:rsid w:val="16933BA9"/>
    <w:rsid w:val="16996480"/>
    <w:rsid w:val="16A40B24"/>
    <w:rsid w:val="16A82F3A"/>
    <w:rsid w:val="16AB5FA5"/>
    <w:rsid w:val="16BD4A3E"/>
    <w:rsid w:val="16F35E5F"/>
    <w:rsid w:val="16FB0B11"/>
    <w:rsid w:val="170A48C2"/>
    <w:rsid w:val="172020F6"/>
    <w:rsid w:val="17220B73"/>
    <w:rsid w:val="173B3C63"/>
    <w:rsid w:val="17C140C3"/>
    <w:rsid w:val="17CD3B5F"/>
    <w:rsid w:val="17EE1C78"/>
    <w:rsid w:val="184D53D9"/>
    <w:rsid w:val="186140E6"/>
    <w:rsid w:val="189A5E77"/>
    <w:rsid w:val="189C68CA"/>
    <w:rsid w:val="18C75DD3"/>
    <w:rsid w:val="18CE28C0"/>
    <w:rsid w:val="18E32865"/>
    <w:rsid w:val="18F31412"/>
    <w:rsid w:val="18F86F87"/>
    <w:rsid w:val="190F0738"/>
    <w:rsid w:val="1948000B"/>
    <w:rsid w:val="194A4E64"/>
    <w:rsid w:val="19690219"/>
    <w:rsid w:val="198C577F"/>
    <w:rsid w:val="199D02B5"/>
    <w:rsid w:val="19A87F53"/>
    <w:rsid w:val="19B06735"/>
    <w:rsid w:val="19B802BF"/>
    <w:rsid w:val="19BE1F2F"/>
    <w:rsid w:val="19C5471F"/>
    <w:rsid w:val="19FF2BCD"/>
    <w:rsid w:val="1A3219C7"/>
    <w:rsid w:val="1A4225DF"/>
    <w:rsid w:val="1A665731"/>
    <w:rsid w:val="1A6900E2"/>
    <w:rsid w:val="1ABA0B77"/>
    <w:rsid w:val="1AE31FAA"/>
    <w:rsid w:val="1AE66DC0"/>
    <w:rsid w:val="1AEE23E0"/>
    <w:rsid w:val="1AFE1636"/>
    <w:rsid w:val="1B1501FB"/>
    <w:rsid w:val="1B3D71C1"/>
    <w:rsid w:val="1B951F76"/>
    <w:rsid w:val="1B9F4A8B"/>
    <w:rsid w:val="1BC11999"/>
    <w:rsid w:val="1BEC03A3"/>
    <w:rsid w:val="1BEE7585"/>
    <w:rsid w:val="1C1C4807"/>
    <w:rsid w:val="1C1E0621"/>
    <w:rsid w:val="1C2E7074"/>
    <w:rsid w:val="1C3773D9"/>
    <w:rsid w:val="1C3C5A5F"/>
    <w:rsid w:val="1C490109"/>
    <w:rsid w:val="1C6A7ACF"/>
    <w:rsid w:val="1C7B007C"/>
    <w:rsid w:val="1C9722D6"/>
    <w:rsid w:val="1CA86413"/>
    <w:rsid w:val="1CBA7177"/>
    <w:rsid w:val="1CE553A0"/>
    <w:rsid w:val="1CE913FB"/>
    <w:rsid w:val="1D3D2BD1"/>
    <w:rsid w:val="1D477216"/>
    <w:rsid w:val="1D4E4364"/>
    <w:rsid w:val="1D5F5A70"/>
    <w:rsid w:val="1D613643"/>
    <w:rsid w:val="1D790CEA"/>
    <w:rsid w:val="1D7B414C"/>
    <w:rsid w:val="1D865AFB"/>
    <w:rsid w:val="1DA22BBC"/>
    <w:rsid w:val="1DBB527E"/>
    <w:rsid w:val="1DCE2972"/>
    <w:rsid w:val="1DEE4316"/>
    <w:rsid w:val="1DF8338D"/>
    <w:rsid w:val="1E1435F8"/>
    <w:rsid w:val="1E206EF9"/>
    <w:rsid w:val="1E310498"/>
    <w:rsid w:val="1E372D9F"/>
    <w:rsid w:val="1E4F703F"/>
    <w:rsid w:val="1E5A0D8D"/>
    <w:rsid w:val="1E817283"/>
    <w:rsid w:val="1E913D35"/>
    <w:rsid w:val="1EA30D9E"/>
    <w:rsid w:val="1EC54C49"/>
    <w:rsid w:val="1EE14CE2"/>
    <w:rsid w:val="1EE82340"/>
    <w:rsid w:val="1EF34658"/>
    <w:rsid w:val="1EF62EB8"/>
    <w:rsid w:val="1F056833"/>
    <w:rsid w:val="1F102085"/>
    <w:rsid w:val="1F104283"/>
    <w:rsid w:val="1F11772F"/>
    <w:rsid w:val="1F172D7D"/>
    <w:rsid w:val="1F217DA1"/>
    <w:rsid w:val="1F6D7E3A"/>
    <w:rsid w:val="1F6E165D"/>
    <w:rsid w:val="1F71458F"/>
    <w:rsid w:val="1F9053AE"/>
    <w:rsid w:val="1FB75D16"/>
    <w:rsid w:val="1FCA21AE"/>
    <w:rsid w:val="1FEE3DA3"/>
    <w:rsid w:val="202513BD"/>
    <w:rsid w:val="2046687E"/>
    <w:rsid w:val="206032ED"/>
    <w:rsid w:val="2072796C"/>
    <w:rsid w:val="20763531"/>
    <w:rsid w:val="20920EFC"/>
    <w:rsid w:val="20927281"/>
    <w:rsid w:val="209E41C7"/>
    <w:rsid w:val="20C12A38"/>
    <w:rsid w:val="20D05716"/>
    <w:rsid w:val="20E8770D"/>
    <w:rsid w:val="20F1259A"/>
    <w:rsid w:val="20FF1BDC"/>
    <w:rsid w:val="211A31C8"/>
    <w:rsid w:val="211C7F42"/>
    <w:rsid w:val="21644AD8"/>
    <w:rsid w:val="217B431E"/>
    <w:rsid w:val="21877151"/>
    <w:rsid w:val="21C41AE4"/>
    <w:rsid w:val="21DC7C19"/>
    <w:rsid w:val="21DD349D"/>
    <w:rsid w:val="21E7182E"/>
    <w:rsid w:val="21E76F54"/>
    <w:rsid w:val="220C4202"/>
    <w:rsid w:val="222570F1"/>
    <w:rsid w:val="222D3305"/>
    <w:rsid w:val="22367999"/>
    <w:rsid w:val="22444146"/>
    <w:rsid w:val="2261436F"/>
    <w:rsid w:val="227646B1"/>
    <w:rsid w:val="228B4258"/>
    <w:rsid w:val="22B02267"/>
    <w:rsid w:val="22B97429"/>
    <w:rsid w:val="22C479DE"/>
    <w:rsid w:val="22C70A11"/>
    <w:rsid w:val="22D61E2F"/>
    <w:rsid w:val="22D94639"/>
    <w:rsid w:val="22F94B6E"/>
    <w:rsid w:val="233C4D5D"/>
    <w:rsid w:val="233E2A2E"/>
    <w:rsid w:val="2378543C"/>
    <w:rsid w:val="237D6BE6"/>
    <w:rsid w:val="239C7BFA"/>
    <w:rsid w:val="23B76226"/>
    <w:rsid w:val="23B83CA7"/>
    <w:rsid w:val="23C154DD"/>
    <w:rsid w:val="23FD0F19"/>
    <w:rsid w:val="24101115"/>
    <w:rsid w:val="243C7737"/>
    <w:rsid w:val="243F2E36"/>
    <w:rsid w:val="245313FA"/>
    <w:rsid w:val="2465202F"/>
    <w:rsid w:val="248D4F84"/>
    <w:rsid w:val="24A73D1F"/>
    <w:rsid w:val="24B27742"/>
    <w:rsid w:val="24B8164C"/>
    <w:rsid w:val="24BF3BA8"/>
    <w:rsid w:val="24E60E96"/>
    <w:rsid w:val="24E85683"/>
    <w:rsid w:val="24E87F68"/>
    <w:rsid w:val="24ED62A3"/>
    <w:rsid w:val="24F06863"/>
    <w:rsid w:val="25691BCA"/>
    <w:rsid w:val="258778A8"/>
    <w:rsid w:val="258868F0"/>
    <w:rsid w:val="25996718"/>
    <w:rsid w:val="259D158E"/>
    <w:rsid w:val="25A31DD5"/>
    <w:rsid w:val="25A44B2B"/>
    <w:rsid w:val="25BD0EF9"/>
    <w:rsid w:val="25C852A4"/>
    <w:rsid w:val="25D24FC7"/>
    <w:rsid w:val="25ED29C6"/>
    <w:rsid w:val="2617030E"/>
    <w:rsid w:val="264D28A0"/>
    <w:rsid w:val="26CA0D6F"/>
    <w:rsid w:val="26D10020"/>
    <w:rsid w:val="26DB7D22"/>
    <w:rsid w:val="26E90873"/>
    <w:rsid w:val="26F37BEC"/>
    <w:rsid w:val="27255A0A"/>
    <w:rsid w:val="273C14DC"/>
    <w:rsid w:val="27655A7F"/>
    <w:rsid w:val="2777765F"/>
    <w:rsid w:val="27D1005E"/>
    <w:rsid w:val="27DD62E3"/>
    <w:rsid w:val="27E95370"/>
    <w:rsid w:val="28037FA1"/>
    <w:rsid w:val="28167DD4"/>
    <w:rsid w:val="281B179A"/>
    <w:rsid w:val="282D79F9"/>
    <w:rsid w:val="28401F8F"/>
    <w:rsid w:val="2857083D"/>
    <w:rsid w:val="28680AD8"/>
    <w:rsid w:val="286B015D"/>
    <w:rsid w:val="28B54148"/>
    <w:rsid w:val="28C27EED"/>
    <w:rsid w:val="28CD627E"/>
    <w:rsid w:val="28E148D3"/>
    <w:rsid w:val="28F12FBA"/>
    <w:rsid w:val="28F306BC"/>
    <w:rsid w:val="29151EF5"/>
    <w:rsid w:val="29643C83"/>
    <w:rsid w:val="29855A2C"/>
    <w:rsid w:val="299327C4"/>
    <w:rsid w:val="29A949F2"/>
    <w:rsid w:val="29C83EDE"/>
    <w:rsid w:val="29DA5136"/>
    <w:rsid w:val="2A423861"/>
    <w:rsid w:val="2A5561C7"/>
    <w:rsid w:val="2A66059D"/>
    <w:rsid w:val="2B0A5828"/>
    <w:rsid w:val="2B142A9B"/>
    <w:rsid w:val="2B2B6A85"/>
    <w:rsid w:val="2B2F7FE6"/>
    <w:rsid w:val="2B317502"/>
    <w:rsid w:val="2B336E05"/>
    <w:rsid w:val="2B62600A"/>
    <w:rsid w:val="2B6A4948"/>
    <w:rsid w:val="2B9026CA"/>
    <w:rsid w:val="2BAA31B3"/>
    <w:rsid w:val="2BC26D9E"/>
    <w:rsid w:val="2BC90C1A"/>
    <w:rsid w:val="2BDA267D"/>
    <w:rsid w:val="2BE441D5"/>
    <w:rsid w:val="2C120DFB"/>
    <w:rsid w:val="2C470693"/>
    <w:rsid w:val="2C6E60F5"/>
    <w:rsid w:val="2C884AC9"/>
    <w:rsid w:val="2CA23BCA"/>
    <w:rsid w:val="2CBD0053"/>
    <w:rsid w:val="2CE341B5"/>
    <w:rsid w:val="2CE81574"/>
    <w:rsid w:val="2D067BEC"/>
    <w:rsid w:val="2D0E1065"/>
    <w:rsid w:val="2D1D7812"/>
    <w:rsid w:val="2D2B45A9"/>
    <w:rsid w:val="2D2E332F"/>
    <w:rsid w:val="2D5B23AA"/>
    <w:rsid w:val="2D60068C"/>
    <w:rsid w:val="2D8E0DCA"/>
    <w:rsid w:val="2D9631B2"/>
    <w:rsid w:val="2D982987"/>
    <w:rsid w:val="2D993BEF"/>
    <w:rsid w:val="2DA354EC"/>
    <w:rsid w:val="2DCC0AC5"/>
    <w:rsid w:val="2E1A3015"/>
    <w:rsid w:val="2E222960"/>
    <w:rsid w:val="2E3F6C20"/>
    <w:rsid w:val="2E6241C8"/>
    <w:rsid w:val="2E654F44"/>
    <w:rsid w:val="2E6B569B"/>
    <w:rsid w:val="2E735BC5"/>
    <w:rsid w:val="2E754F7A"/>
    <w:rsid w:val="2E824B5A"/>
    <w:rsid w:val="2E9021B6"/>
    <w:rsid w:val="2E9B3506"/>
    <w:rsid w:val="2EB95433"/>
    <w:rsid w:val="2EBE07DF"/>
    <w:rsid w:val="2EC15BD9"/>
    <w:rsid w:val="2EC41B6D"/>
    <w:rsid w:val="2EFC6A22"/>
    <w:rsid w:val="2EFD4F49"/>
    <w:rsid w:val="2F131782"/>
    <w:rsid w:val="2F3C7955"/>
    <w:rsid w:val="2F417F0C"/>
    <w:rsid w:val="2F910C40"/>
    <w:rsid w:val="2FC126EC"/>
    <w:rsid w:val="301E7DFF"/>
    <w:rsid w:val="30244A9C"/>
    <w:rsid w:val="302F24EF"/>
    <w:rsid w:val="30410D55"/>
    <w:rsid w:val="305B1BAF"/>
    <w:rsid w:val="30D062CD"/>
    <w:rsid w:val="30D26997"/>
    <w:rsid w:val="30E56EDC"/>
    <w:rsid w:val="30F73365"/>
    <w:rsid w:val="3100167D"/>
    <w:rsid w:val="310622FB"/>
    <w:rsid w:val="311B7D98"/>
    <w:rsid w:val="316025BD"/>
    <w:rsid w:val="3175173C"/>
    <w:rsid w:val="31833E1D"/>
    <w:rsid w:val="31946A67"/>
    <w:rsid w:val="31B20215"/>
    <w:rsid w:val="31F67A05"/>
    <w:rsid w:val="32090944"/>
    <w:rsid w:val="32211B4E"/>
    <w:rsid w:val="322B021E"/>
    <w:rsid w:val="324D0D7D"/>
    <w:rsid w:val="326C2EC7"/>
    <w:rsid w:val="32B92FC6"/>
    <w:rsid w:val="32C154AA"/>
    <w:rsid w:val="32C325DA"/>
    <w:rsid w:val="32D009ED"/>
    <w:rsid w:val="32E20907"/>
    <w:rsid w:val="32F444EA"/>
    <w:rsid w:val="330B21B6"/>
    <w:rsid w:val="332A001D"/>
    <w:rsid w:val="33372693"/>
    <w:rsid w:val="335C27CF"/>
    <w:rsid w:val="33917C16"/>
    <w:rsid w:val="33A21C9A"/>
    <w:rsid w:val="33F52B8E"/>
    <w:rsid w:val="34176785"/>
    <w:rsid w:val="34293C06"/>
    <w:rsid w:val="344E6FDD"/>
    <w:rsid w:val="34527864"/>
    <w:rsid w:val="34565015"/>
    <w:rsid w:val="34565D9D"/>
    <w:rsid w:val="34881F3C"/>
    <w:rsid w:val="34A30F0E"/>
    <w:rsid w:val="34B124FF"/>
    <w:rsid w:val="34C47118"/>
    <w:rsid w:val="34DB5702"/>
    <w:rsid w:val="34E875C7"/>
    <w:rsid w:val="35137922"/>
    <w:rsid w:val="353A2B45"/>
    <w:rsid w:val="35455B73"/>
    <w:rsid w:val="35847960"/>
    <w:rsid w:val="35893863"/>
    <w:rsid w:val="35CB12B3"/>
    <w:rsid w:val="35CB1E9A"/>
    <w:rsid w:val="35FE5733"/>
    <w:rsid w:val="361C0AFD"/>
    <w:rsid w:val="363A185F"/>
    <w:rsid w:val="363B563B"/>
    <w:rsid w:val="363D783F"/>
    <w:rsid w:val="364D6A4A"/>
    <w:rsid w:val="36625046"/>
    <w:rsid w:val="36667F4C"/>
    <w:rsid w:val="366C0D41"/>
    <w:rsid w:val="366D2A86"/>
    <w:rsid w:val="36742808"/>
    <w:rsid w:val="367A5F70"/>
    <w:rsid w:val="36824B9C"/>
    <w:rsid w:val="36832FFC"/>
    <w:rsid w:val="3692436C"/>
    <w:rsid w:val="369C735A"/>
    <w:rsid w:val="36A35AAF"/>
    <w:rsid w:val="36A66A34"/>
    <w:rsid w:val="36B1439C"/>
    <w:rsid w:val="36BA0F57"/>
    <w:rsid w:val="36C54F61"/>
    <w:rsid w:val="36EA771D"/>
    <w:rsid w:val="36FA64BE"/>
    <w:rsid w:val="36FD79CA"/>
    <w:rsid w:val="37381826"/>
    <w:rsid w:val="374643BF"/>
    <w:rsid w:val="37476E6B"/>
    <w:rsid w:val="378828AA"/>
    <w:rsid w:val="378F5548"/>
    <w:rsid w:val="3795413E"/>
    <w:rsid w:val="37977271"/>
    <w:rsid w:val="37987437"/>
    <w:rsid w:val="37D646E1"/>
    <w:rsid w:val="37F37060"/>
    <w:rsid w:val="381B3F7A"/>
    <w:rsid w:val="3831783F"/>
    <w:rsid w:val="383D10D3"/>
    <w:rsid w:val="384B03E9"/>
    <w:rsid w:val="386A0C9E"/>
    <w:rsid w:val="38847E92"/>
    <w:rsid w:val="389152DA"/>
    <w:rsid w:val="38C83236"/>
    <w:rsid w:val="38DE53D9"/>
    <w:rsid w:val="390B6CEE"/>
    <w:rsid w:val="392F3EDF"/>
    <w:rsid w:val="39336168"/>
    <w:rsid w:val="393F3CD6"/>
    <w:rsid w:val="39484E09"/>
    <w:rsid w:val="394E45C5"/>
    <w:rsid w:val="39D114EA"/>
    <w:rsid w:val="39D46BEB"/>
    <w:rsid w:val="3A1F37E7"/>
    <w:rsid w:val="3A2669F5"/>
    <w:rsid w:val="3A3C74B4"/>
    <w:rsid w:val="3A3E27D3"/>
    <w:rsid w:val="3A425CFB"/>
    <w:rsid w:val="3A5F79E6"/>
    <w:rsid w:val="3A6D2B2C"/>
    <w:rsid w:val="3A7E52C6"/>
    <w:rsid w:val="3AB81953"/>
    <w:rsid w:val="3ABB4CF7"/>
    <w:rsid w:val="3AD02804"/>
    <w:rsid w:val="3AE97286"/>
    <w:rsid w:val="3AEF3EC0"/>
    <w:rsid w:val="3AF86D4E"/>
    <w:rsid w:val="3AF93436"/>
    <w:rsid w:val="3B0A3060"/>
    <w:rsid w:val="3B3D2A1F"/>
    <w:rsid w:val="3B736697"/>
    <w:rsid w:val="3B7D5180"/>
    <w:rsid w:val="3B846B7A"/>
    <w:rsid w:val="3B993054"/>
    <w:rsid w:val="3BB85B07"/>
    <w:rsid w:val="3BC4191A"/>
    <w:rsid w:val="3BC44F5A"/>
    <w:rsid w:val="3BEA370A"/>
    <w:rsid w:val="3BF5376E"/>
    <w:rsid w:val="3C2B322B"/>
    <w:rsid w:val="3C5B3C6B"/>
    <w:rsid w:val="3C65652D"/>
    <w:rsid w:val="3C9237E9"/>
    <w:rsid w:val="3C946BEB"/>
    <w:rsid w:val="3CA00F52"/>
    <w:rsid w:val="3CA75790"/>
    <w:rsid w:val="3CED5A3B"/>
    <w:rsid w:val="3CFC7847"/>
    <w:rsid w:val="3CFF5E1E"/>
    <w:rsid w:val="3D3B0DDF"/>
    <w:rsid w:val="3D5B0A23"/>
    <w:rsid w:val="3D870F02"/>
    <w:rsid w:val="3E120265"/>
    <w:rsid w:val="3E1B314F"/>
    <w:rsid w:val="3E2D23D6"/>
    <w:rsid w:val="3E3F6CCA"/>
    <w:rsid w:val="3E546A69"/>
    <w:rsid w:val="3E551BE5"/>
    <w:rsid w:val="3E6135F4"/>
    <w:rsid w:val="3E932D12"/>
    <w:rsid w:val="3E956359"/>
    <w:rsid w:val="3E987ECE"/>
    <w:rsid w:val="3EA70758"/>
    <w:rsid w:val="3EE333F2"/>
    <w:rsid w:val="3EFC5C64"/>
    <w:rsid w:val="3F1049E5"/>
    <w:rsid w:val="3F2052F3"/>
    <w:rsid w:val="3F246731"/>
    <w:rsid w:val="3F3B4945"/>
    <w:rsid w:val="3F433E5A"/>
    <w:rsid w:val="3F4F7C6C"/>
    <w:rsid w:val="3F685210"/>
    <w:rsid w:val="3F767B2C"/>
    <w:rsid w:val="3F9C4E89"/>
    <w:rsid w:val="40061999"/>
    <w:rsid w:val="40547059"/>
    <w:rsid w:val="405902C6"/>
    <w:rsid w:val="406C6770"/>
    <w:rsid w:val="40915CFA"/>
    <w:rsid w:val="40977B10"/>
    <w:rsid w:val="40CF0E06"/>
    <w:rsid w:val="40D04955"/>
    <w:rsid w:val="412052B3"/>
    <w:rsid w:val="414234B9"/>
    <w:rsid w:val="414C3236"/>
    <w:rsid w:val="414F2C77"/>
    <w:rsid w:val="416A1261"/>
    <w:rsid w:val="417C5C6A"/>
    <w:rsid w:val="41834389"/>
    <w:rsid w:val="41BF069E"/>
    <w:rsid w:val="41C377ED"/>
    <w:rsid w:val="41C52874"/>
    <w:rsid w:val="41D279BE"/>
    <w:rsid w:val="41DD5D1C"/>
    <w:rsid w:val="422B5A9B"/>
    <w:rsid w:val="422F5266"/>
    <w:rsid w:val="423F253E"/>
    <w:rsid w:val="424E080B"/>
    <w:rsid w:val="42570A10"/>
    <w:rsid w:val="42784EFA"/>
    <w:rsid w:val="42920CC3"/>
    <w:rsid w:val="42A2549A"/>
    <w:rsid w:val="42C6635A"/>
    <w:rsid w:val="42CD0EA8"/>
    <w:rsid w:val="42DE6BC4"/>
    <w:rsid w:val="42FE1677"/>
    <w:rsid w:val="430345BA"/>
    <w:rsid w:val="4321529E"/>
    <w:rsid w:val="433A5C59"/>
    <w:rsid w:val="43423065"/>
    <w:rsid w:val="437B6298"/>
    <w:rsid w:val="438F08E9"/>
    <w:rsid w:val="43907AAB"/>
    <w:rsid w:val="43BE0430"/>
    <w:rsid w:val="43D17004"/>
    <w:rsid w:val="43DA5C5F"/>
    <w:rsid w:val="43E23A8B"/>
    <w:rsid w:val="44293FF9"/>
    <w:rsid w:val="442E3F67"/>
    <w:rsid w:val="446B0669"/>
    <w:rsid w:val="446C6A68"/>
    <w:rsid w:val="44706517"/>
    <w:rsid w:val="45011D41"/>
    <w:rsid w:val="4503405A"/>
    <w:rsid w:val="452E518F"/>
    <w:rsid w:val="4545681E"/>
    <w:rsid w:val="454702B7"/>
    <w:rsid w:val="455C2158"/>
    <w:rsid w:val="45651A65"/>
    <w:rsid w:val="456E0EE9"/>
    <w:rsid w:val="456F27C4"/>
    <w:rsid w:val="45757B02"/>
    <w:rsid w:val="45836413"/>
    <w:rsid w:val="45B32E6A"/>
    <w:rsid w:val="46080375"/>
    <w:rsid w:val="461807D7"/>
    <w:rsid w:val="46233A93"/>
    <w:rsid w:val="463065F6"/>
    <w:rsid w:val="46423A3B"/>
    <w:rsid w:val="465164CD"/>
    <w:rsid w:val="465700F4"/>
    <w:rsid w:val="465B35B4"/>
    <w:rsid w:val="468A764A"/>
    <w:rsid w:val="4691544D"/>
    <w:rsid w:val="46A72415"/>
    <w:rsid w:val="46AF5BCE"/>
    <w:rsid w:val="46BC111E"/>
    <w:rsid w:val="46BE5447"/>
    <w:rsid w:val="46C4751C"/>
    <w:rsid w:val="46E44EC7"/>
    <w:rsid w:val="46E56A5F"/>
    <w:rsid w:val="46EF4DF0"/>
    <w:rsid w:val="46FA33B2"/>
    <w:rsid w:val="46FE3D85"/>
    <w:rsid w:val="475E02E8"/>
    <w:rsid w:val="47624569"/>
    <w:rsid w:val="478168DD"/>
    <w:rsid w:val="478A5A2C"/>
    <w:rsid w:val="479E3C8F"/>
    <w:rsid w:val="47B408FD"/>
    <w:rsid w:val="47C812A9"/>
    <w:rsid w:val="47DC068E"/>
    <w:rsid w:val="47DD439D"/>
    <w:rsid w:val="47F4486C"/>
    <w:rsid w:val="48020130"/>
    <w:rsid w:val="480B6841"/>
    <w:rsid w:val="480F7417"/>
    <w:rsid w:val="48242B78"/>
    <w:rsid w:val="48630809"/>
    <w:rsid w:val="4868266F"/>
    <w:rsid w:val="48981928"/>
    <w:rsid w:val="48D93C27"/>
    <w:rsid w:val="4951655A"/>
    <w:rsid w:val="49791DE0"/>
    <w:rsid w:val="497C541E"/>
    <w:rsid w:val="497D0E3C"/>
    <w:rsid w:val="499253C3"/>
    <w:rsid w:val="49B764FC"/>
    <w:rsid w:val="49DF4EBA"/>
    <w:rsid w:val="49E41279"/>
    <w:rsid w:val="49E573CC"/>
    <w:rsid w:val="4A397DC3"/>
    <w:rsid w:val="4A412BA1"/>
    <w:rsid w:val="4A570604"/>
    <w:rsid w:val="4A5C53CA"/>
    <w:rsid w:val="4A6E7363"/>
    <w:rsid w:val="4A9174E4"/>
    <w:rsid w:val="4AC16C04"/>
    <w:rsid w:val="4AD239F8"/>
    <w:rsid w:val="4AE20C46"/>
    <w:rsid w:val="4AF10803"/>
    <w:rsid w:val="4B102B0C"/>
    <w:rsid w:val="4B16773E"/>
    <w:rsid w:val="4B3969AC"/>
    <w:rsid w:val="4B3A6678"/>
    <w:rsid w:val="4B4E311B"/>
    <w:rsid w:val="4B66090B"/>
    <w:rsid w:val="4B6C26CB"/>
    <w:rsid w:val="4B6E176F"/>
    <w:rsid w:val="4BBD33CE"/>
    <w:rsid w:val="4BCC13F5"/>
    <w:rsid w:val="4BFD5D8E"/>
    <w:rsid w:val="4C017B05"/>
    <w:rsid w:val="4C3B0AD8"/>
    <w:rsid w:val="4C5A4CC2"/>
    <w:rsid w:val="4C5F15AB"/>
    <w:rsid w:val="4C773E82"/>
    <w:rsid w:val="4C7A5BF9"/>
    <w:rsid w:val="4C927A4A"/>
    <w:rsid w:val="4C982217"/>
    <w:rsid w:val="4CB5540A"/>
    <w:rsid w:val="4CBE53F2"/>
    <w:rsid w:val="4CE432A2"/>
    <w:rsid w:val="4CE75EF6"/>
    <w:rsid w:val="4CED3AC0"/>
    <w:rsid w:val="4CF14931"/>
    <w:rsid w:val="4CF93156"/>
    <w:rsid w:val="4CFF5CF5"/>
    <w:rsid w:val="4D0E72AE"/>
    <w:rsid w:val="4D143D6E"/>
    <w:rsid w:val="4D1E2546"/>
    <w:rsid w:val="4D3E4E5A"/>
    <w:rsid w:val="4D3F3CC3"/>
    <w:rsid w:val="4D517068"/>
    <w:rsid w:val="4D665D11"/>
    <w:rsid w:val="4D895D66"/>
    <w:rsid w:val="4DAC36AC"/>
    <w:rsid w:val="4DB248F6"/>
    <w:rsid w:val="4DBD0916"/>
    <w:rsid w:val="4DBD1DF1"/>
    <w:rsid w:val="4DD61FCC"/>
    <w:rsid w:val="4DE904E0"/>
    <w:rsid w:val="4DF1057D"/>
    <w:rsid w:val="4DF420F5"/>
    <w:rsid w:val="4E141DF1"/>
    <w:rsid w:val="4E370378"/>
    <w:rsid w:val="4E732BD8"/>
    <w:rsid w:val="4E782B03"/>
    <w:rsid w:val="4E7943DC"/>
    <w:rsid w:val="4E7E1C73"/>
    <w:rsid w:val="4E847C71"/>
    <w:rsid w:val="4EBB0839"/>
    <w:rsid w:val="4EC549CB"/>
    <w:rsid w:val="4EDA586A"/>
    <w:rsid w:val="4EDA5C7C"/>
    <w:rsid w:val="4EE05B1D"/>
    <w:rsid w:val="4F13254C"/>
    <w:rsid w:val="4F3B1580"/>
    <w:rsid w:val="4F537AB2"/>
    <w:rsid w:val="4F58603C"/>
    <w:rsid w:val="4F5D6686"/>
    <w:rsid w:val="4F620E30"/>
    <w:rsid w:val="4F624EF6"/>
    <w:rsid w:val="4F637D4D"/>
    <w:rsid w:val="4F8E345D"/>
    <w:rsid w:val="4F990227"/>
    <w:rsid w:val="4FB52C12"/>
    <w:rsid w:val="4FC357E8"/>
    <w:rsid w:val="4FE52F42"/>
    <w:rsid w:val="504323CD"/>
    <w:rsid w:val="5059155E"/>
    <w:rsid w:val="506875FB"/>
    <w:rsid w:val="50844EBF"/>
    <w:rsid w:val="508D1967"/>
    <w:rsid w:val="50921CA7"/>
    <w:rsid w:val="50A16CA6"/>
    <w:rsid w:val="50A83F1D"/>
    <w:rsid w:val="50B26D75"/>
    <w:rsid w:val="50D137D5"/>
    <w:rsid w:val="50D73FF0"/>
    <w:rsid w:val="50D80413"/>
    <w:rsid w:val="510E103A"/>
    <w:rsid w:val="514327E1"/>
    <w:rsid w:val="514336E6"/>
    <w:rsid w:val="51571AC4"/>
    <w:rsid w:val="51647E65"/>
    <w:rsid w:val="517E7101"/>
    <w:rsid w:val="51935A63"/>
    <w:rsid w:val="51A95A08"/>
    <w:rsid w:val="51C13FBE"/>
    <w:rsid w:val="51C752AD"/>
    <w:rsid w:val="51CD260D"/>
    <w:rsid w:val="51DD32B1"/>
    <w:rsid w:val="521220F6"/>
    <w:rsid w:val="521572B6"/>
    <w:rsid w:val="52400C67"/>
    <w:rsid w:val="524336DF"/>
    <w:rsid w:val="524D0715"/>
    <w:rsid w:val="526B5AC6"/>
    <w:rsid w:val="526E43A0"/>
    <w:rsid w:val="52750905"/>
    <w:rsid w:val="527F0414"/>
    <w:rsid w:val="52892AF8"/>
    <w:rsid w:val="52A336A2"/>
    <w:rsid w:val="52AB0798"/>
    <w:rsid w:val="52CA226C"/>
    <w:rsid w:val="52CC7522"/>
    <w:rsid w:val="52F8589F"/>
    <w:rsid w:val="52FD3EE8"/>
    <w:rsid w:val="53502E56"/>
    <w:rsid w:val="53516761"/>
    <w:rsid w:val="536454E8"/>
    <w:rsid w:val="537A3705"/>
    <w:rsid w:val="53852110"/>
    <w:rsid w:val="538606D4"/>
    <w:rsid w:val="539359BE"/>
    <w:rsid w:val="53B85210"/>
    <w:rsid w:val="53EC0FAF"/>
    <w:rsid w:val="53F16BC7"/>
    <w:rsid w:val="540013E0"/>
    <w:rsid w:val="54096E8C"/>
    <w:rsid w:val="54234E18"/>
    <w:rsid w:val="542D727D"/>
    <w:rsid w:val="5435510F"/>
    <w:rsid w:val="54417C4B"/>
    <w:rsid w:val="547B54A6"/>
    <w:rsid w:val="54B7788A"/>
    <w:rsid w:val="54D648BB"/>
    <w:rsid w:val="54D920AE"/>
    <w:rsid w:val="54DF2FCC"/>
    <w:rsid w:val="54F80627"/>
    <w:rsid w:val="55106124"/>
    <w:rsid w:val="55362C2B"/>
    <w:rsid w:val="55404A70"/>
    <w:rsid w:val="55583B90"/>
    <w:rsid w:val="555E131C"/>
    <w:rsid w:val="557E616E"/>
    <w:rsid w:val="559519E9"/>
    <w:rsid w:val="55A21A11"/>
    <w:rsid w:val="55A53C8F"/>
    <w:rsid w:val="55BF5D3D"/>
    <w:rsid w:val="55C51FC5"/>
    <w:rsid w:val="55F0785B"/>
    <w:rsid w:val="560F1140"/>
    <w:rsid w:val="56141D44"/>
    <w:rsid w:val="56206E5C"/>
    <w:rsid w:val="564A221E"/>
    <w:rsid w:val="5678070D"/>
    <w:rsid w:val="56862083"/>
    <w:rsid w:val="56B37C4E"/>
    <w:rsid w:val="56D57C04"/>
    <w:rsid w:val="56E968A5"/>
    <w:rsid w:val="56F20E16"/>
    <w:rsid w:val="57000432"/>
    <w:rsid w:val="570E0227"/>
    <w:rsid w:val="57563306"/>
    <w:rsid w:val="577C1CAD"/>
    <w:rsid w:val="57844A61"/>
    <w:rsid w:val="57A046B8"/>
    <w:rsid w:val="57B04FE9"/>
    <w:rsid w:val="57F05DD2"/>
    <w:rsid w:val="57FD096B"/>
    <w:rsid w:val="58124E7E"/>
    <w:rsid w:val="5825082B"/>
    <w:rsid w:val="58435145"/>
    <w:rsid w:val="587902B5"/>
    <w:rsid w:val="587971CE"/>
    <w:rsid w:val="588D4B10"/>
    <w:rsid w:val="58943B89"/>
    <w:rsid w:val="58E43B5D"/>
    <w:rsid w:val="58ED1D77"/>
    <w:rsid w:val="590E18ED"/>
    <w:rsid w:val="593D12F7"/>
    <w:rsid w:val="59617E35"/>
    <w:rsid w:val="5992513B"/>
    <w:rsid w:val="59941D06"/>
    <w:rsid w:val="59981AA8"/>
    <w:rsid w:val="59A01B41"/>
    <w:rsid w:val="59A15799"/>
    <w:rsid w:val="59B54690"/>
    <w:rsid w:val="59B660FE"/>
    <w:rsid w:val="59DE2648"/>
    <w:rsid w:val="59ED7002"/>
    <w:rsid w:val="5A1F3552"/>
    <w:rsid w:val="5A76552B"/>
    <w:rsid w:val="5AB81CD6"/>
    <w:rsid w:val="5AC02D0D"/>
    <w:rsid w:val="5ACE15D8"/>
    <w:rsid w:val="5AF64A35"/>
    <w:rsid w:val="5B24753E"/>
    <w:rsid w:val="5B6836FC"/>
    <w:rsid w:val="5B692598"/>
    <w:rsid w:val="5B713816"/>
    <w:rsid w:val="5B8F4FC4"/>
    <w:rsid w:val="5B933DD4"/>
    <w:rsid w:val="5BBB130B"/>
    <w:rsid w:val="5BDF6048"/>
    <w:rsid w:val="5BE9161E"/>
    <w:rsid w:val="5BFA0755"/>
    <w:rsid w:val="5C3777A0"/>
    <w:rsid w:val="5C5D6756"/>
    <w:rsid w:val="5C6723D0"/>
    <w:rsid w:val="5C702A5B"/>
    <w:rsid w:val="5CA16106"/>
    <w:rsid w:val="5CAE7162"/>
    <w:rsid w:val="5CC85FC5"/>
    <w:rsid w:val="5CE323F2"/>
    <w:rsid w:val="5CEB19FD"/>
    <w:rsid w:val="5D0C25DA"/>
    <w:rsid w:val="5D2F772B"/>
    <w:rsid w:val="5D346490"/>
    <w:rsid w:val="5D5104A8"/>
    <w:rsid w:val="5D5E7AD3"/>
    <w:rsid w:val="5D7D47EF"/>
    <w:rsid w:val="5D813AEB"/>
    <w:rsid w:val="5D982259"/>
    <w:rsid w:val="5D9B7838"/>
    <w:rsid w:val="5DAE5F31"/>
    <w:rsid w:val="5DB75574"/>
    <w:rsid w:val="5DB91FED"/>
    <w:rsid w:val="5DE70783"/>
    <w:rsid w:val="5E097C56"/>
    <w:rsid w:val="5E471CBA"/>
    <w:rsid w:val="5E6721EE"/>
    <w:rsid w:val="5E9132C3"/>
    <w:rsid w:val="5E96130D"/>
    <w:rsid w:val="5EA5347A"/>
    <w:rsid w:val="5EAC2CE3"/>
    <w:rsid w:val="5EBC4145"/>
    <w:rsid w:val="5EC1455A"/>
    <w:rsid w:val="5EC478FD"/>
    <w:rsid w:val="5ECD7994"/>
    <w:rsid w:val="5ED837A7"/>
    <w:rsid w:val="5EE769F3"/>
    <w:rsid w:val="5F1723A4"/>
    <w:rsid w:val="5F332BBC"/>
    <w:rsid w:val="5F3715C2"/>
    <w:rsid w:val="5F3B5A4A"/>
    <w:rsid w:val="5F442401"/>
    <w:rsid w:val="5F6419DC"/>
    <w:rsid w:val="5F6D4A22"/>
    <w:rsid w:val="5F6F7CA1"/>
    <w:rsid w:val="5F880A48"/>
    <w:rsid w:val="5FDC3E85"/>
    <w:rsid w:val="5FDD1CCE"/>
    <w:rsid w:val="5FFB05B5"/>
    <w:rsid w:val="601F5526"/>
    <w:rsid w:val="603944E1"/>
    <w:rsid w:val="604E4367"/>
    <w:rsid w:val="60584F1D"/>
    <w:rsid w:val="60595747"/>
    <w:rsid w:val="6063466C"/>
    <w:rsid w:val="60661CB4"/>
    <w:rsid w:val="60766139"/>
    <w:rsid w:val="608049EB"/>
    <w:rsid w:val="60812F71"/>
    <w:rsid w:val="608A01C5"/>
    <w:rsid w:val="609A6C8B"/>
    <w:rsid w:val="60A73D51"/>
    <w:rsid w:val="60B146B2"/>
    <w:rsid w:val="60CA5C5B"/>
    <w:rsid w:val="60E40384"/>
    <w:rsid w:val="60EB69F2"/>
    <w:rsid w:val="6107183D"/>
    <w:rsid w:val="610F5E35"/>
    <w:rsid w:val="612C3FFB"/>
    <w:rsid w:val="613418ED"/>
    <w:rsid w:val="6136552E"/>
    <w:rsid w:val="613A0D93"/>
    <w:rsid w:val="61610105"/>
    <w:rsid w:val="616C5A5C"/>
    <w:rsid w:val="618A4767"/>
    <w:rsid w:val="61954924"/>
    <w:rsid w:val="619A1555"/>
    <w:rsid w:val="61F3273F"/>
    <w:rsid w:val="620826E5"/>
    <w:rsid w:val="620D4D2A"/>
    <w:rsid w:val="62176BD9"/>
    <w:rsid w:val="62250781"/>
    <w:rsid w:val="62356ACE"/>
    <w:rsid w:val="62486BCC"/>
    <w:rsid w:val="6251055B"/>
    <w:rsid w:val="629E602C"/>
    <w:rsid w:val="62B6741A"/>
    <w:rsid w:val="62BB1F75"/>
    <w:rsid w:val="630B0025"/>
    <w:rsid w:val="632366B5"/>
    <w:rsid w:val="63302147"/>
    <w:rsid w:val="636B6AA9"/>
    <w:rsid w:val="638A3ADA"/>
    <w:rsid w:val="63A80B0C"/>
    <w:rsid w:val="63B86BA8"/>
    <w:rsid w:val="63BC45E5"/>
    <w:rsid w:val="63BE46AF"/>
    <w:rsid w:val="63E217E1"/>
    <w:rsid w:val="63FD3F03"/>
    <w:rsid w:val="642104F5"/>
    <w:rsid w:val="64276DF4"/>
    <w:rsid w:val="643407A7"/>
    <w:rsid w:val="647A0E64"/>
    <w:rsid w:val="64803619"/>
    <w:rsid w:val="648E5907"/>
    <w:rsid w:val="64994927"/>
    <w:rsid w:val="64A010A4"/>
    <w:rsid w:val="64DA0DDE"/>
    <w:rsid w:val="64E51002"/>
    <w:rsid w:val="651F307E"/>
    <w:rsid w:val="653603C7"/>
    <w:rsid w:val="656D4F75"/>
    <w:rsid w:val="65703D66"/>
    <w:rsid w:val="657C502B"/>
    <w:rsid w:val="657E127B"/>
    <w:rsid w:val="65953340"/>
    <w:rsid w:val="65E90142"/>
    <w:rsid w:val="662616A0"/>
    <w:rsid w:val="66284C66"/>
    <w:rsid w:val="66333A39"/>
    <w:rsid w:val="663366B5"/>
    <w:rsid w:val="6648015B"/>
    <w:rsid w:val="664C0236"/>
    <w:rsid w:val="667F5FA5"/>
    <w:rsid w:val="66B5634D"/>
    <w:rsid w:val="66D505DD"/>
    <w:rsid w:val="66DD77F7"/>
    <w:rsid w:val="670F16E2"/>
    <w:rsid w:val="674E016D"/>
    <w:rsid w:val="676F59BF"/>
    <w:rsid w:val="6775314C"/>
    <w:rsid w:val="679A6900"/>
    <w:rsid w:val="67E32102"/>
    <w:rsid w:val="67E84389"/>
    <w:rsid w:val="67ED6375"/>
    <w:rsid w:val="67EE5056"/>
    <w:rsid w:val="67FA4E5C"/>
    <w:rsid w:val="67FF3017"/>
    <w:rsid w:val="68033CB4"/>
    <w:rsid w:val="680F5994"/>
    <w:rsid w:val="68122C4A"/>
    <w:rsid w:val="68186A37"/>
    <w:rsid w:val="681A70CF"/>
    <w:rsid w:val="68470C85"/>
    <w:rsid w:val="684D6A8C"/>
    <w:rsid w:val="6867649D"/>
    <w:rsid w:val="688B0763"/>
    <w:rsid w:val="68A1390E"/>
    <w:rsid w:val="68CA01FA"/>
    <w:rsid w:val="691959FB"/>
    <w:rsid w:val="69366D06"/>
    <w:rsid w:val="69434640"/>
    <w:rsid w:val="694542C0"/>
    <w:rsid w:val="69504A01"/>
    <w:rsid w:val="69760313"/>
    <w:rsid w:val="697A6D19"/>
    <w:rsid w:val="69873F06"/>
    <w:rsid w:val="69B55486"/>
    <w:rsid w:val="69D37795"/>
    <w:rsid w:val="69D61631"/>
    <w:rsid w:val="69DA57C5"/>
    <w:rsid w:val="69F3315F"/>
    <w:rsid w:val="69FD7950"/>
    <w:rsid w:val="6A0A6494"/>
    <w:rsid w:val="6A2007AB"/>
    <w:rsid w:val="6A3C0A16"/>
    <w:rsid w:val="6A40330A"/>
    <w:rsid w:val="6A7428DF"/>
    <w:rsid w:val="6A9A31A7"/>
    <w:rsid w:val="6AE933C5"/>
    <w:rsid w:val="6AF30294"/>
    <w:rsid w:val="6B161F4B"/>
    <w:rsid w:val="6B1D1384"/>
    <w:rsid w:val="6B3602F4"/>
    <w:rsid w:val="6B3E2A69"/>
    <w:rsid w:val="6B434100"/>
    <w:rsid w:val="6B456D52"/>
    <w:rsid w:val="6B663041"/>
    <w:rsid w:val="6B7A7E54"/>
    <w:rsid w:val="6BC03116"/>
    <w:rsid w:val="6BCD11D7"/>
    <w:rsid w:val="6BE100EB"/>
    <w:rsid w:val="6BF37D4B"/>
    <w:rsid w:val="6C132A6D"/>
    <w:rsid w:val="6C3C0BA8"/>
    <w:rsid w:val="6C4C58BD"/>
    <w:rsid w:val="6C554EC8"/>
    <w:rsid w:val="6C901D4E"/>
    <w:rsid w:val="6CBF6AF6"/>
    <w:rsid w:val="6CC87405"/>
    <w:rsid w:val="6CE8573C"/>
    <w:rsid w:val="6CE91505"/>
    <w:rsid w:val="6CED3A62"/>
    <w:rsid w:val="6CF255B7"/>
    <w:rsid w:val="6D034A65"/>
    <w:rsid w:val="6D0475EA"/>
    <w:rsid w:val="6D342338"/>
    <w:rsid w:val="6D3A1CC2"/>
    <w:rsid w:val="6D464C56"/>
    <w:rsid w:val="6D955854"/>
    <w:rsid w:val="6DA322E1"/>
    <w:rsid w:val="6DAC0CFD"/>
    <w:rsid w:val="6DB30687"/>
    <w:rsid w:val="6E0509D7"/>
    <w:rsid w:val="6E055466"/>
    <w:rsid w:val="6E170CD7"/>
    <w:rsid w:val="6E3C13F9"/>
    <w:rsid w:val="6E452C57"/>
    <w:rsid w:val="6E605061"/>
    <w:rsid w:val="6E8F6D71"/>
    <w:rsid w:val="6EAB2E1E"/>
    <w:rsid w:val="6EBC7AD2"/>
    <w:rsid w:val="6EF31CFB"/>
    <w:rsid w:val="6F080FB9"/>
    <w:rsid w:val="6F51652A"/>
    <w:rsid w:val="6F726EC6"/>
    <w:rsid w:val="6F7C5EF4"/>
    <w:rsid w:val="6F997223"/>
    <w:rsid w:val="6FA526CF"/>
    <w:rsid w:val="6FB045F0"/>
    <w:rsid w:val="6FD85E0E"/>
    <w:rsid w:val="6FF56FA9"/>
    <w:rsid w:val="6FFF2715"/>
    <w:rsid w:val="70124ED7"/>
    <w:rsid w:val="705C6BEC"/>
    <w:rsid w:val="706C2B4D"/>
    <w:rsid w:val="7070775A"/>
    <w:rsid w:val="708E7E5A"/>
    <w:rsid w:val="70901D3A"/>
    <w:rsid w:val="709631B3"/>
    <w:rsid w:val="70971E04"/>
    <w:rsid w:val="70D63257"/>
    <w:rsid w:val="70F521A3"/>
    <w:rsid w:val="710B7F28"/>
    <w:rsid w:val="71180999"/>
    <w:rsid w:val="711C142C"/>
    <w:rsid w:val="71224B2C"/>
    <w:rsid w:val="713F2DD7"/>
    <w:rsid w:val="7156627F"/>
    <w:rsid w:val="71575015"/>
    <w:rsid w:val="716E41BB"/>
    <w:rsid w:val="71B5409B"/>
    <w:rsid w:val="71F60387"/>
    <w:rsid w:val="722978DD"/>
    <w:rsid w:val="723423EA"/>
    <w:rsid w:val="72422A05"/>
    <w:rsid w:val="72453989"/>
    <w:rsid w:val="724A458E"/>
    <w:rsid w:val="726D59D0"/>
    <w:rsid w:val="72905049"/>
    <w:rsid w:val="72CB2869"/>
    <w:rsid w:val="72F76811"/>
    <w:rsid w:val="72F94009"/>
    <w:rsid w:val="73025524"/>
    <w:rsid w:val="7318449D"/>
    <w:rsid w:val="73576115"/>
    <w:rsid w:val="736B3D96"/>
    <w:rsid w:val="73A06886"/>
    <w:rsid w:val="73DE2E4B"/>
    <w:rsid w:val="74013B78"/>
    <w:rsid w:val="74196D88"/>
    <w:rsid w:val="745436E9"/>
    <w:rsid w:val="746C550D"/>
    <w:rsid w:val="748C30D6"/>
    <w:rsid w:val="74910F72"/>
    <w:rsid w:val="754C1604"/>
    <w:rsid w:val="755F4EA1"/>
    <w:rsid w:val="75D5701F"/>
    <w:rsid w:val="75DD08F5"/>
    <w:rsid w:val="75F00FE3"/>
    <w:rsid w:val="75F3442C"/>
    <w:rsid w:val="760442A1"/>
    <w:rsid w:val="76313BC2"/>
    <w:rsid w:val="763A5BE5"/>
    <w:rsid w:val="765C149A"/>
    <w:rsid w:val="768E1D0F"/>
    <w:rsid w:val="76B16F6E"/>
    <w:rsid w:val="76C26CE6"/>
    <w:rsid w:val="76CC3D72"/>
    <w:rsid w:val="76D214FF"/>
    <w:rsid w:val="76DA7A97"/>
    <w:rsid w:val="77003E52"/>
    <w:rsid w:val="77381796"/>
    <w:rsid w:val="77511142"/>
    <w:rsid w:val="77583DB8"/>
    <w:rsid w:val="77881F27"/>
    <w:rsid w:val="779D14EF"/>
    <w:rsid w:val="779F2E61"/>
    <w:rsid w:val="77A824DE"/>
    <w:rsid w:val="77B37A4A"/>
    <w:rsid w:val="77C62480"/>
    <w:rsid w:val="77F374B5"/>
    <w:rsid w:val="784241F0"/>
    <w:rsid w:val="785D0388"/>
    <w:rsid w:val="78787CEC"/>
    <w:rsid w:val="7892370F"/>
    <w:rsid w:val="78C47730"/>
    <w:rsid w:val="78CE0040"/>
    <w:rsid w:val="78D51BC9"/>
    <w:rsid w:val="78DB7356"/>
    <w:rsid w:val="78F470C8"/>
    <w:rsid w:val="78F544DF"/>
    <w:rsid w:val="78F57EFF"/>
    <w:rsid w:val="78F73E07"/>
    <w:rsid w:val="790D1AE5"/>
    <w:rsid w:val="79376225"/>
    <w:rsid w:val="795E34D3"/>
    <w:rsid w:val="796D46C6"/>
    <w:rsid w:val="79A35F22"/>
    <w:rsid w:val="79EE5F19"/>
    <w:rsid w:val="79FE686B"/>
    <w:rsid w:val="7A140357"/>
    <w:rsid w:val="7A2B3800"/>
    <w:rsid w:val="7A6B3C9D"/>
    <w:rsid w:val="7A723ABF"/>
    <w:rsid w:val="7A795AFD"/>
    <w:rsid w:val="7A8F7CA1"/>
    <w:rsid w:val="7A9D64D7"/>
    <w:rsid w:val="7AB37EE9"/>
    <w:rsid w:val="7AED006A"/>
    <w:rsid w:val="7B01255E"/>
    <w:rsid w:val="7B1B4E61"/>
    <w:rsid w:val="7B3068F7"/>
    <w:rsid w:val="7B402043"/>
    <w:rsid w:val="7B613181"/>
    <w:rsid w:val="7BC13896"/>
    <w:rsid w:val="7BCA1FA7"/>
    <w:rsid w:val="7BD94624"/>
    <w:rsid w:val="7BDF7740"/>
    <w:rsid w:val="7C1E7A0C"/>
    <w:rsid w:val="7C3228D0"/>
    <w:rsid w:val="7C3841E7"/>
    <w:rsid w:val="7C5809F2"/>
    <w:rsid w:val="7C8930B9"/>
    <w:rsid w:val="7C9B0E35"/>
    <w:rsid w:val="7C9F1959"/>
    <w:rsid w:val="7CAF1A18"/>
    <w:rsid w:val="7CBC0009"/>
    <w:rsid w:val="7CBD49A9"/>
    <w:rsid w:val="7CCF3A53"/>
    <w:rsid w:val="7D0A6AAF"/>
    <w:rsid w:val="7D0B1159"/>
    <w:rsid w:val="7D0D1339"/>
    <w:rsid w:val="7D171C49"/>
    <w:rsid w:val="7D273647"/>
    <w:rsid w:val="7D3127F3"/>
    <w:rsid w:val="7D504145"/>
    <w:rsid w:val="7D7659DE"/>
    <w:rsid w:val="7DC64D97"/>
    <w:rsid w:val="7DD37FDD"/>
    <w:rsid w:val="7DF97F13"/>
    <w:rsid w:val="7E1F5E31"/>
    <w:rsid w:val="7E3215D2"/>
    <w:rsid w:val="7E4E5655"/>
    <w:rsid w:val="7E5915A3"/>
    <w:rsid w:val="7E7818D1"/>
    <w:rsid w:val="7E7C4C45"/>
    <w:rsid w:val="7E822A6A"/>
    <w:rsid w:val="7E9A34B4"/>
    <w:rsid w:val="7EA90D5A"/>
    <w:rsid w:val="7EC474A0"/>
    <w:rsid w:val="7ECF0F9A"/>
    <w:rsid w:val="7EF16320"/>
    <w:rsid w:val="7EF66C5B"/>
    <w:rsid w:val="7F235D7F"/>
    <w:rsid w:val="7F32291E"/>
    <w:rsid w:val="7F4A2B06"/>
    <w:rsid w:val="7F62060E"/>
    <w:rsid w:val="7F950052"/>
    <w:rsid w:val="7FA37A30"/>
    <w:rsid w:val="7FC14AF5"/>
    <w:rsid w:val="7FC16A0F"/>
    <w:rsid w:val="7FC37683"/>
    <w:rsid w:val="7FC83465"/>
    <w:rsid w:val="7FD178C3"/>
    <w:rsid w:val="7FD563E7"/>
    <w:rsid w:val="7FE21CA4"/>
    <w:rsid w:val="7FE318A9"/>
    <w:rsid w:val="7FE377DD"/>
    <w:rsid w:val="7FE916E7"/>
    <w:rsid w:val="7FED018B"/>
    <w:rsid w:val="BD64C6F8"/>
    <w:rsid w:val="FFCF2D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99"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2"/>
    <w:basedOn w:val="1"/>
    <w:next w:val="1"/>
    <w:link w:val="32"/>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8"/>
    <w:semiHidden/>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next w:val="1"/>
    <w:qFormat/>
    <w:uiPriority w:val="0"/>
    <w:pPr>
      <w:ind w:firstLine="420" w:firstLineChars="100"/>
    </w:pPr>
  </w:style>
  <w:style w:type="paragraph" w:styleId="3">
    <w:name w:val="Body Text"/>
    <w:basedOn w:val="1"/>
    <w:next w:val="1"/>
    <w:qFormat/>
    <w:uiPriority w:val="1"/>
    <w:pPr>
      <w:autoSpaceDE w:val="0"/>
      <w:autoSpaceDN w:val="0"/>
      <w:jc w:val="left"/>
    </w:pPr>
    <w:rPr>
      <w:rFonts w:ascii="Noto Sans Mono CJK JP Bold" w:hAnsi="Noto Sans Mono CJK JP Bold" w:eastAsia="Noto Sans Mono CJK JP Bold" w:cs="Noto Sans Mono CJK JP Bold"/>
      <w:kern w:val="0"/>
      <w:sz w:val="30"/>
      <w:szCs w:val="30"/>
    </w:rPr>
  </w:style>
  <w:style w:type="paragraph" w:styleId="7">
    <w:name w:val="Normal Indent"/>
    <w:basedOn w:val="1"/>
    <w:next w:val="1"/>
    <w:qFormat/>
    <w:uiPriority w:val="0"/>
    <w:pPr>
      <w:ind w:firstLine="420"/>
    </w:pPr>
    <w:rPr>
      <w:szCs w:val="20"/>
    </w:rPr>
  </w:style>
  <w:style w:type="paragraph" w:styleId="8">
    <w:name w:val="annotation text"/>
    <w:basedOn w:val="1"/>
    <w:link w:val="26"/>
    <w:qFormat/>
    <w:uiPriority w:val="0"/>
    <w:pPr>
      <w:jc w:val="left"/>
    </w:pPr>
  </w:style>
  <w:style w:type="paragraph" w:styleId="9">
    <w:name w:val="Body Text Indent"/>
    <w:basedOn w:val="1"/>
    <w:next w:val="3"/>
    <w:link w:val="41"/>
    <w:semiHidden/>
    <w:unhideWhenUsed/>
    <w:qFormat/>
    <w:uiPriority w:val="99"/>
    <w:pPr>
      <w:spacing w:after="120"/>
      <w:ind w:left="420" w:leftChars="200"/>
    </w:pPr>
  </w:style>
  <w:style w:type="paragraph" w:styleId="10">
    <w:name w:val="Balloon Text"/>
    <w:basedOn w:val="1"/>
    <w:link w:val="25"/>
    <w:qFormat/>
    <w:uiPriority w:val="0"/>
    <w:rPr>
      <w:sz w:val="18"/>
      <w:szCs w:val="18"/>
    </w:rPr>
  </w:style>
  <w:style w:type="paragraph" w:styleId="11">
    <w:name w:val="footer"/>
    <w:basedOn w:val="1"/>
    <w:link w:val="34"/>
    <w:qFormat/>
    <w:uiPriority w:val="0"/>
    <w:pPr>
      <w:tabs>
        <w:tab w:val="center" w:pos="4153"/>
        <w:tab w:val="right" w:pos="8306"/>
      </w:tabs>
      <w:snapToGrid w:val="0"/>
      <w:jc w:val="left"/>
    </w:pPr>
    <w:rPr>
      <w:sz w:val="18"/>
    </w:rPr>
  </w:style>
  <w:style w:type="paragraph" w:styleId="12">
    <w:name w:val="header"/>
    <w:basedOn w:val="1"/>
    <w:link w:val="3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footnote text"/>
    <w:basedOn w:val="1"/>
    <w:link w:val="36"/>
    <w:semiHidden/>
    <w:unhideWhenUsed/>
    <w:qFormat/>
    <w:uiPriority w:val="0"/>
    <w:pPr>
      <w:snapToGrid w:val="0"/>
      <w:jc w:val="left"/>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color w:val="000000"/>
      <w:kern w:val="0"/>
      <w:sz w:val="24"/>
    </w:rPr>
  </w:style>
  <w:style w:type="paragraph" w:styleId="15">
    <w:name w:val="annotation subject"/>
    <w:basedOn w:val="8"/>
    <w:next w:val="8"/>
    <w:link w:val="27"/>
    <w:qFormat/>
    <w:uiPriority w:val="0"/>
    <w:rPr>
      <w:b/>
      <w:bCs/>
    </w:rPr>
  </w:style>
  <w:style w:type="paragraph" w:styleId="16">
    <w:name w:val="Body Text First Indent 2"/>
    <w:basedOn w:val="1"/>
    <w:unhideWhenUsed/>
    <w:qFormat/>
    <w:uiPriority w:val="99"/>
    <w:pPr>
      <w:ind w:firstLine="420" w:firstLineChars="200"/>
    </w:pPr>
  </w:style>
  <w:style w:type="table" w:styleId="18">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0">
    <w:name w:val="Strong"/>
    <w:basedOn w:val="19"/>
    <w:qFormat/>
    <w:uiPriority w:val="0"/>
    <w:rPr>
      <w:b/>
    </w:rPr>
  </w:style>
  <w:style w:type="character" w:styleId="21">
    <w:name w:val="page number"/>
    <w:qFormat/>
    <w:uiPriority w:val="0"/>
  </w:style>
  <w:style w:type="character" w:styleId="22">
    <w:name w:val="Emphasis"/>
    <w:basedOn w:val="19"/>
    <w:qFormat/>
    <w:uiPriority w:val="0"/>
    <w:rPr>
      <w:i/>
    </w:rPr>
  </w:style>
  <w:style w:type="character" w:styleId="23">
    <w:name w:val="annotation reference"/>
    <w:basedOn w:val="19"/>
    <w:qFormat/>
    <w:uiPriority w:val="0"/>
    <w:rPr>
      <w:sz w:val="21"/>
      <w:szCs w:val="21"/>
    </w:rPr>
  </w:style>
  <w:style w:type="character" w:styleId="24">
    <w:name w:val="footnote reference"/>
    <w:basedOn w:val="19"/>
    <w:semiHidden/>
    <w:unhideWhenUsed/>
    <w:qFormat/>
    <w:uiPriority w:val="0"/>
    <w:rPr>
      <w:vertAlign w:val="superscript"/>
    </w:rPr>
  </w:style>
  <w:style w:type="character" w:customStyle="1" w:styleId="25">
    <w:name w:val="批注框文本 Char"/>
    <w:basedOn w:val="19"/>
    <w:link w:val="10"/>
    <w:qFormat/>
    <w:uiPriority w:val="0"/>
    <w:rPr>
      <w:rFonts w:asciiTheme="minorHAnsi" w:hAnsiTheme="minorHAnsi" w:eastAsiaTheme="minorEastAsia" w:cstheme="minorBidi"/>
      <w:kern w:val="2"/>
      <w:sz w:val="18"/>
      <w:szCs w:val="18"/>
    </w:rPr>
  </w:style>
  <w:style w:type="character" w:customStyle="1" w:styleId="26">
    <w:name w:val="批注文字 Char"/>
    <w:basedOn w:val="19"/>
    <w:link w:val="8"/>
    <w:qFormat/>
    <w:uiPriority w:val="0"/>
    <w:rPr>
      <w:rFonts w:asciiTheme="minorHAnsi" w:hAnsiTheme="minorHAnsi" w:eastAsiaTheme="minorEastAsia" w:cstheme="minorBidi"/>
      <w:kern w:val="2"/>
      <w:sz w:val="21"/>
      <w:szCs w:val="24"/>
    </w:rPr>
  </w:style>
  <w:style w:type="character" w:customStyle="1" w:styleId="27">
    <w:name w:val="批注主题 Char"/>
    <w:basedOn w:val="26"/>
    <w:link w:val="15"/>
    <w:qFormat/>
    <w:uiPriority w:val="0"/>
    <w:rPr>
      <w:rFonts w:asciiTheme="minorHAnsi" w:hAnsiTheme="minorHAnsi" w:eastAsiaTheme="minorEastAsia" w:cstheme="minorBidi"/>
      <w:b/>
      <w:bCs/>
      <w:kern w:val="2"/>
      <w:sz w:val="21"/>
      <w:szCs w:val="24"/>
    </w:rPr>
  </w:style>
  <w:style w:type="paragraph" w:customStyle="1" w:styleId="28">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9">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styleId="30">
    <w:name w:val="List Paragraph"/>
    <w:basedOn w:val="1"/>
    <w:unhideWhenUsed/>
    <w:qFormat/>
    <w:uiPriority w:val="34"/>
    <w:pPr>
      <w:ind w:firstLine="420" w:firstLineChars="200"/>
    </w:pPr>
  </w:style>
  <w:style w:type="paragraph" w:customStyle="1" w:styleId="31">
    <w:name w:val="修订3"/>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2">
    <w:name w:val="标题 2 Char"/>
    <w:basedOn w:val="19"/>
    <w:link w:val="5"/>
    <w:semiHidden/>
    <w:qFormat/>
    <w:uiPriority w:val="0"/>
    <w:rPr>
      <w:rFonts w:asciiTheme="majorHAnsi" w:hAnsiTheme="majorHAnsi" w:eastAsiaTheme="majorEastAsia" w:cstheme="majorBidi"/>
      <w:b/>
      <w:bCs/>
      <w:kern w:val="2"/>
      <w:sz w:val="32"/>
      <w:szCs w:val="32"/>
    </w:rPr>
  </w:style>
  <w:style w:type="character" w:customStyle="1" w:styleId="33">
    <w:name w:val="页眉 Char"/>
    <w:basedOn w:val="19"/>
    <w:link w:val="12"/>
    <w:qFormat/>
    <w:uiPriority w:val="99"/>
    <w:rPr>
      <w:rFonts w:asciiTheme="minorHAnsi" w:hAnsiTheme="minorHAnsi" w:eastAsiaTheme="minorEastAsia" w:cstheme="minorBidi"/>
      <w:kern w:val="2"/>
      <w:sz w:val="18"/>
      <w:szCs w:val="24"/>
    </w:rPr>
  </w:style>
  <w:style w:type="character" w:customStyle="1" w:styleId="34">
    <w:name w:val="页脚 Char"/>
    <w:basedOn w:val="19"/>
    <w:link w:val="11"/>
    <w:qFormat/>
    <w:uiPriority w:val="0"/>
    <w:rPr>
      <w:rFonts w:asciiTheme="minorHAnsi" w:hAnsiTheme="minorHAnsi" w:eastAsiaTheme="minorEastAsia" w:cstheme="minorBidi"/>
      <w:kern w:val="2"/>
      <w:sz w:val="18"/>
      <w:szCs w:val="24"/>
    </w:rPr>
  </w:style>
  <w:style w:type="paragraph" w:customStyle="1" w:styleId="35">
    <w:name w:val="修订4"/>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6">
    <w:name w:val="脚注文本 Char"/>
    <w:basedOn w:val="19"/>
    <w:link w:val="13"/>
    <w:semiHidden/>
    <w:qFormat/>
    <w:uiPriority w:val="0"/>
    <w:rPr>
      <w:kern w:val="2"/>
      <w:sz w:val="18"/>
      <w:szCs w:val="18"/>
    </w:rPr>
  </w:style>
  <w:style w:type="paragraph" w:customStyle="1" w:styleId="37">
    <w:name w:val="修订5"/>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8">
    <w:name w:val="标题 3 Char"/>
    <w:basedOn w:val="19"/>
    <w:link w:val="6"/>
    <w:semiHidden/>
    <w:qFormat/>
    <w:uiPriority w:val="0"/>
    <w:rPr>
      <w:rFonts w:asciiTheme="minorHAnsi" w:hAnsiTheme="minorHAnsi" w:eastAsiaTheme="minorEastAsia" w:cstheme="minorBidi"/>
      <w:b/>
      <w:bCs/>
      <w:kern w:val="2"/>
      <w:sz w:val="32"/>
      <w:szCs w:val="32"/>
    </w:rPr>
  </w:style>
  <w:style w:type="paragraph" w:customStyle="1" w:styleId="39">
    <w:name w:val="Default"/>
    <w:qFormat/>
    <w:uiPriority w:val="0"/>
    <w:pPr>
      <w:widowControl w:val="0"/>
      <w:autoSpaceDE w:val="0"/>
      <w:autoSpaceDN w:val="0"/>
      <w:adjustRightInd w:val="0"/>
    </w:pPr>
    <w:rPr>
      <w:rFonts w:ascii="楷体" w:hAnsi="楷体" w:cs="楷体" w:eastAsiaTheme="minorEastAsia"/>
      <w:color w:val="000000"/>
      <w:sz w:val="24"/>
      <w:szCs w:val="24"/>
      <w:lang w:val="en-US" w:eastAsia="zh-CN" w:bidi="ar-SA"/>
    </w:rPr>
  </w:style>
  <w:style w:type="character" w:customStyle="1" w:styleId="40">
    <w:name w:val="不明显强调1"/>
    <w:qFormat/>
    <w:uiPriority w:val="19"/>
    <w:rPr>
      <w:rFonts w:ascii="仿宋" w:hAnsi="仿宋" w:eastAsia="仿宋" w:cs="Times New Roman"/>
      <w:sz w:val="32"/>
      <w:szCs w:val="32"/>
    </w:rPr>
  </w:style>
  <w:style w:type="character" w:customStyle="1" w:styleId="41">
    <w:name w:val="正文文本缩进 Char"/>
    <w:basedOn w:val="19"/>
    <w:link w:val="9"/>
    <w:semiHidden/>
    <w:qFormat/>
    <w:uiPriority w:val="99"/>
    <w:rPr>
      <w:rFonts w:asciiTheme="minorHAnsi" w:hAnsiTheme="minorHAnsi" w:eastAsiaTheme="minorEastAsia" w:cstheme="minorBidi"/>
      <w:kern w:val="2"/>
      <w:sz w:val="21"/>
      <w:szCs w:val="24"/>
    </w:rPr>
  </w:style>
  <w:style w:type="paragraph" w:customStyle="1" w:styleId="42">
    <w:name w:val="修订6"/>
    <w:hidden/>
    <w:unhideWhenUsed/>
    <w:qFormat/>
    <w:uiPriority w:val="99"/>
    <w:rPr>
      <w:rFonts w:asciiTheme="minorHAnsi" w:hAnsiTheme="minorHAnsi" w:eastAsiaTheme="minorEastAsia" w:cstheme="minorBidi"/>
      <w:kern w:val="2"/>
      <w:sz w:val="21"/>
      <w:szCs w:val="24"/>
      <w:lang w:val="en-US" w:eastAsia="zh-CN" w:bidi="ar-SA"/>
    </w:rPr>
  </w:style>
  <w:style w:type="character" w:styleId="43">
    <w:name w:val="Placeholder Text"/>
    <w:basedOn w:val="19"/>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文档" ma:contentTypeID="0x0101008A1CD0ACEFB685468ADC9D3ECFE50AA2" ma:contentTypeVersion="0" ma:contentTypeDescription="新建文档。" ma:contentTypeScope="" ma:versionID="def0500d8bfa075d08ce612c1990ead7">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D1ED46-448C-4959-A852-A2AEDC137DE6}">
  <ds:schemaRefs/>
</ds:datastoreItem>
</file>

<file path=customXml/itemProps3.xml><?xml version="1.0" encoding="utf-8"?>
<ds:datastoreItem xmlns:ds="http://schemas.openxmlformats.org/officeDocument/2006/customXml" ds:itemID="{FB595917-B52A-4752-9DDB-DA8981109C53}">
  <ds:schemaRefs/>
</ds:datastoreItem>
</file>

<file path=customXml/itemProps4.xml><?xml version="1.0" encoding="utf-8"?>
<ds:datastoreItem xmlns:ds="http://schemas.openxmlformats.org/officeDocument/2006/customXml" ds:itemID="{5A929AB0-C7C9-41EF-8792-9D29E3E4B1DF}">
  <ds:schemaRefs/>
</ds:datastoreItem>
</file>

<file path=docProps/app.xml><?xml version="1.0" encoding="utf-8"?>
<Properties xmlns="http://schemas.openxmlformats.org/officeDocument/2006/extended-properties" xmlns:vt="http://schemas.openxmlformats.org/officeDocument/2006/docPropsVTypes">
  <Pages>38</Pages>
  <Words>2681</Words>
  <Characters>15287</Characters>
  <Lines>1</Lines>
  <Paragraphs>1</Paragraphs>
  <TotalTime>272</TotalTime>
  <ScaleCrop>false</ScaleCrop>
  <LinksUpToDate>false</LinksUpToDate>
  <CharactersWithSpaces>17933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2023-02-15T09:54:00Z</dcterms:created>
  <dc:creator>章涛(tzhang)</dc:creator>
  <cp:lastModifiedBy>司楠</cp:lastModifiedBy>
  <cp:lastPrinted>2026-01-13T08:52:00Z</cp:lastPrinted>
  <dcterms:modified xsi:type="dcterms:W3CDTF">2026-02-09T08:12:12Z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ContentTypeId">
    <vt:lpwstr>0x0101008A1CD0ACEFB685468ADC9D3ECFE50AA2</vt:lpwstr>
  </property>
  <property fmtid="{D5CDD505-2E9C-101B-9397-08002B2CF9AE}" pid="4" name="ICV">
    <vt:lpwstr>80DEFCD9D96B4BA7AE6BD5F26A5C40DC</vt:lpwstr>
  </property>
</Properties>
</file>