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附件1：深市高研发强度公司支出规模前50名统计</w:t>
      </w:r>
    </w:p>
    <w:p>
      <w:pPr>
        <w:widowControl/>
        <w:jc w:val="left"/>
        <w:rPr>
          <w:rFonts w:asciiTheme="minorEastAsia" w:hAnsiTheme="minorEastAsia"/>
          <w:sz w:val="24"/>
          <w:szCs w:val="24"/>
        </w:rPr>
      </w:pPr>
    </w:p>
    <w:tbl>
      <w:tblPr>
        <w:tblStyle w:val="3"/>
        <w:tblW w:w="9642" w:type="dxa"/>
        <w:jc w:val="center"/>
        <w:tblInd w:w="94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7"/>
        <w:gridCol w:w="1340"/>
        <w:gridCol w:w="1495"/>
        <w:gridCol w:w="1010"/>
        <w:gridCol w:w="1010"/>
        <w:gridCol w:w="1010"/>
        <w:gridCol w:w="1010"/>
        <w:gridCol w:w="1010"/>
        <w:gridCol w:w="101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1" w:hRule="atLeast"/>
          <w:jc w:val="center"/>
        </w:trPr>
        <w:tc>
          <w:tcPr>
            <w:tcW w:w="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b/>
                <w:bCs/>
                <w:kern w:val="0"/>
                <w:szCs w:val="21"/>
              </w:rPr>
            </w:pPr>
            <w:r>
              <w:rPr>
                <w:rFonts w:hint="eastAsia" w:cs="Arial" w:asciiTheme="minorEastAsia" w:hAnsiTheme="minorEastAsia"/>
                <w:b/>
                <w:bCs/>
                <w:kern w:val="0"/>
                <w:szCs w:val="21"/>
              </w:rPr>
              <w:t>序号</w:t>
            </w:r>
          </w:p>
        </w:tc>
        <w:tc>
          <w:tcPr>
            <w:tcW w:w="13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Arial" w:asciiTheme="minorEastAsia" w:hAnsiTheme="minorEastAsia"/>
                <w:b/>
                <w:bCs/>
                <w:color w:val="000000"/>
                <w:kern w:val="0"/>
                <w:szCs w:val="21"/>
              </w:rPr>
              <w:t>证券名称</w:t>
            </w:r>
          </w:p>
        </w:tc>
        <w:tc>
          <w:tcPr>
            <w:tcW w:w="14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Arial" w:asciiTheme="minorEastAsia" w:hAnsiTheme="minorEastAsia"/>
                <w:b/>
                <w:bCs/>
                <w:color w:val="000000"/>
                <w:kern w:val="0"/>
                <w:szCs w:val="21"/>
              </w:rPr>
              <w:t>证券板块</w:t>
            </w:r>
          </w:p>
        </w:tc>
        <w:tc>
          <w:tcPr>
            <w:tcW w:w="1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after="240"/>
              <w:jc w:val="center"/>
              <w:rPr>
                <w:rFonts w:cs="Arial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Arial" w:asciiTheme="minorEastAsia" w:hAnsiTheme="minorEastAsia"/>
                <w:b/>
                <w:bCs/>
                <w:color w:val="000000"/>
                <w:kern w:val="0"/>
                <w:szCs w:val="21"/>
              </w:rPr>
              <w:t>2017</w:t>
            </w:r>
            <w:r>
              <w:rPr>
                <w:rFonts w:hint="eastAsia" w:cs="Arial" w:asciiTheme="minorEastAsia" w:hAnsiTheme="minorEastAsia"/>
                <w:b/>
                <w:bCs/>
                <w:color w:val="000000"/>
                <w:kern w:val="0"/>
                <w:szCs w:val="21"/>
              </w:rPr>
              <w:t>年研发支出</w:t>
            </w:r>
          </w:p>
          <w:p>
            <w:pPr>
              <w:widowControl/>
              <w:spacing w:after="240"/>
              <w:jc w:val="center"/>
              <w:rPr>
                <w:rFonts w:cs="Arial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Arial" w:asciiTheme="minorEastAsia" w:hAnsiTheme="minorEastAsia"/>
                <w:b/>
                <w:bCs/>
                <w:color w:val="000000"/>
                <w:kern w:val="0"/>
                <w:szCs w:val="21"/>
              </w:rPr>
              <w:t>（单位：亿元）</w:t>
            </w:r>
          </w:p>
        </w:tc>
        <w:tc>
          <w:tcPr>
            <w:tcW w:w="1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Arial" w:asciiTheme="minorEastAsia" w:hAnsiTheme="minorEastAsia"/>
                <w:b/>
                <w:bCs/>
                <w:color w:val="000000"/>
                <w:kern w:val="0"/>
                <w:szCs w:val="21"/>
              </w:rPr>
              <w:t>2017</w:t>
            </w:r>
            <w:r>
              <w:rPr>
                <w:rFonts w:hint="eastAsia" w:cs="Arial" w:asciiTheme="minorEastAsia" w:hAnsiTheme="minorEastAsia"/>
                <w:b/>
                <w:bCs/>
                <w:color w:val="000000"/>
                <w:kern w:val="0"/>
                <w:szCs w:val="21"/>
              </w:rPr>
              <w:t>年研发强度</w:t>
            </w:r>
          </w:p>
        </w:tc>
        <w:tc>
          <w:tcPr>
            <w:tcW w:w="1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after="240"/>
              <w:jc w:val="center"/>
              <w:rPr>
                <w:rFonts w:cs="Arial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Arial" w:asciiTheme="minorEastAsia" w:hAnsiTheme="minorEastAsia"/>
                <w:b/>
                <w:bCs/>
                <w:color w:val="000000"/>
                <w:kern w:val="0"/>
                <w:szCs w:val="21"/>
              </w:rPr>
              <w:t>2018</w:t>
            </w:r>
            <w:r>
              <w:rPr>
                <w:rFonts w:hint="eastAsia" w:cs="Arial" w:asciiTheme="minorEastAsia" w:hAnsiTheme="minorEastAsia"/>
                <w:b/>
                <w:bCs/>
                <w:color w:val="000000"/>
                <w:kern w:val="0"/>
                <w:szCs w:val="21"/>
              </w:rPr>
              <w:t>年研发支出</w:t>
            </w:r>
          </w:p>
          <w:p>
            <w:pPr>
              <w:widowControl/>
              <w:spacing w:after="240"/>
              <w:jc w:val="center"/>
              <w:rPr>
                <w:rFonts w:cs="Arial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Arial" w:asciiTheme="minorEastAsia" w:hAnsiTheme="minorEastAsia"/>
                <w:b/>
                <w:bCs/>
                <w:color w:val="000000"/>
                <w:kern w:val="0"/>
                <w:szCs w:val="21"/>
              </w:rPr>
              <w:t>（单位：亿元）</w:t>
            </w:r>
          </w:p>
        </w:tc>
        <w:tc>
          <w:tcPr>
            <w:tcW w:w="1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Arial" w:asciiTheme="minorEastAsia" w:hAnsiTheme="minorEastAsia"/>
                <w:b/>
                <w:bCs/>
                <w:color w:val="000000"/>
                <w:kern w:val="0"/>
                <w:szCs w:val="21"/>
              </w:rPr>
              <w:t>2018</w:t>
            </w:r>
            <w:r>
              <w:rPr>
                <w:rFonts w:hint="eastAsia" w:cs="Arial" w:asciiTheme="minorEastAsia" w:hAnsiTheme="minorEastAsia"/>
                <w:b/>
                <w:bCs/>
                <w:color w:val="000000"/>
                <w:kern w:val="0"/>
                <w:szCs w:val="21"/>
              </w:rPr>
              <w:t>年研发强度</w:t>
            </w:r>
          </w:p>
        </w:tc>
        <w:tc>
          <w:tcPr>
            <w:tcW w:w="1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after="240"/>
              <w:jc w:val="center"/>
              <w:rPr>
                <w:rFonts w:cs="Arial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Arial" w:asciiTheme="minorEastAsia" w:hAnsiTheme="minorEastAsia"/>
                <w:b/>
                <w:bCs/>
                <w:color w:val="000000"/>
                <w:kern w:val="0"/>
                <w:szCs w:val="21"/>
              </w:rPr>
              <w:t>2019</w:t>
            </w:r>
            <w:r>
              <w:rPr>
                <w:rFonts w:hint="eastAsia" w:cs="Arial" w:asciiTheme="minorEastAsia" w:hAnsiTheme="minorEastAsia"/>
                <w:b/>
                <w:bCs/>
                <w:color w:val="000000"/>
                <w:kern w:val="0"/>
                <w:szCs w:val="21"/>
              </w:rPr>
              <w:t>年研发支出</w:t>
            </w:r>
          </w:p>
          <w:p>
            <w:pPr>
              <w:widowControl/>
              <w:spacing w:after="240"/>
              <w:jc w:val="center"/>
              <w:rPr>
                <w:rFonts w:cs="Arial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Arial" w:asciiTheme="minorEastAsia" w:hAnsiTheme="minorEastAsia"/>
                <w:b/>
                <w:bCs/>
                <w:color w:val="000000"/>
                <w:kern w:val="0"/>
                <w:szCs w:val="21"/>
              </w:rPr>
              <w:t>（单位：亿元）</w:t>
            </w:r>
          </w:p>
        </w:tc>
        <w:tc>
          <w:tcPr>
            <w:tcW w:w="1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Arial" w:asciiTheme="minorEastAsia" w:hAnsiTheme="minorEastAsia"/>
                <w:b/>
                <w:bCs/>
                <w:color w:val="000000"/>
                <w:kern w:val="0"/>
                <w:szCs w:val="21"/>
              </w:rPr>
              <w:t>2019</w:t>
            </w:r>
            <w:r>
              <w:rPr>
                <w:rFonts w:hint="eastAsia" w:cs="Arial" w:asciiTheme="minorEastAsia" w:hAnsiTheme="minorEastAsia"/>
                <w:b/>
                <w:bCs/>
                <w:color w:val="000000"/>
                <w:kern w:val="0"/>
                <w:szCs w:val="21"/>
              </w:rPr>
              <w:t>年研发强度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四维图新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深交所中小板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9.13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42.36%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11.66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54.65%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13.09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56.67%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赢时胜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1.93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35.85%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2.30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36.05%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2.89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44.07%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贝达药业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3.81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37.09%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5.90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48.20%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6.75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43.41%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翰宇药业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0.89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7.17%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1.91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15.12%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2.61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42.51%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5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国民技术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1.37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19.78%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1.44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23.95%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1.58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40.06%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6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维宏股份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0.51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25.79%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0.66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28.72%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0.70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36.38%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7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欧比特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0.29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3.87%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0.62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6.85%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2.78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32.64%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8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华中数控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1.46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14.79%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2.14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26.10%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2.95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32.56%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9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巨人网络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深交所中小板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6.29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21.63%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7.88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20.85%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8.24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32.06%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10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广联达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深交所中小板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6.59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28.18%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8.03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28.05%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10.88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31.40%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11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兆日科技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0.57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24.63%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0.61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28.13%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0.71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29.51%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12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国科微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1.32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31.97%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1.57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39.16%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1.53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28.12%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13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北方华创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深交所中小板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7.36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33.13%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8.73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26.28%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11.37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28.03%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14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冰川网络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1.03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34.74%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0.99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33.91%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1.15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27.80%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15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东方国信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3.26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21.68%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4.45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22.31%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5.88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27.33%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16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维信诺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深交所中小板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0.24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76.35%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5.69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31.98%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7.23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26.88%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17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长川科技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0.37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20.51%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0.62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28.55%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1.07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26.82%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18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同花顺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3.48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24.70%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3.96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28.56%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4.65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26.69%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19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富瀚微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0.71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15.83%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1.33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32.19%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1.39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26.58%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20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华力创通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0.62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10.93%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1.17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17.23%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1.70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26.52%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21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海特高新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深交所中小板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2.48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58.25%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1.94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37.60%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2.12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26.22%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22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万达信息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3.04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12.58%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5.83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26.46%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5.40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25.41%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23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舒泰神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0.92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6.64%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1.30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16.12%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1.66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25.06%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24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国新健康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深交所主板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1.06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57.49%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0.29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30.89%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0.33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25.03%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25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上海瀚讯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1.21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31.30%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1.07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25.19%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1.36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24.96%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26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深信服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4.78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19.34%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7.79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24.16%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11.41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24.86%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27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掌趣科技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4.51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25.51%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4.47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22.68%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3.98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24.60%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28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康弘药业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深交所中小板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3.50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12.56%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3.49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11.96%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7.88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24.18%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29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中新赛克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深交所中小板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1.19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23.86%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1.67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24.17%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2.17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23.96%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30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佳创视讯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0.52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21.53%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0.46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14.35%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0.39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23.88%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31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东土科技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1.54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18.77%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1.80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18.81%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1.95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23.85%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32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川大智胜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深交所中小板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0.56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20.97%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0.70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20.57%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0.80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23.49%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33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每日互动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0.47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14.16%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0.78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14.54%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1.25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23.13%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34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沃森生物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3.33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49.87%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3.80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43.25%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2.58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23.06%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35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远光软件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深交所中小板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2.92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24.79%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2.98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23.31%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3.53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22.53%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36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完美世界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深交所中小板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13.11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16.54%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14.13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17.59%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17.99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22.37%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37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万兴科技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0.92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19.79%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0.97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17.85%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1.56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22.11%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38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景嘉微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0.58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18.95%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0.81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20.32%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1.17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22.07%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39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方直科技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0.26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26.00%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0.29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26.68%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0.24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21.89%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40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普利制药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0.63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19.49%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1.46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23.47%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2.04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21.51%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41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北纬科技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深交所中小板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0.39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6.77%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0.37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15.98%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0.37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21.41%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42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科大讯飞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深交所中小板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11.45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21.04%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17.73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22.39%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21.43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21.27%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43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迅游科技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0.41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14.81%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0.68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9.27%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1.02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21.18%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44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思特奇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1.44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19.43%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1.53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19.41%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1.81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21.03%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45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宇环数控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深交所中小板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0.17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6.64%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0.16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7.97%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0.15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20.88%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46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汇纳科技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0.27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13.12%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0.37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14.81%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0.68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20.81%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47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台海核电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深交所中小板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1.03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4.18%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1.01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7.29%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1.06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20.72%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48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东方财富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1.82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16.37%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2.50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19.12%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3.05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20.66%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49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高新兴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1.66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7.44%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4.06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11.39%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5.54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20.56%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50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南大光电</w:t>
            </w:r>
          </w:p>
        </w:tc>
        <w:tc>
          <w:tcPr>
            <w:tcW w:w="1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深交所创业板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0.38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21.69%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0.37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16.37%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0.66 </w:t>
            </w:r>
          </w:p>
        </w:tc>
        <w:tc>
          <w:tcPr>
            <w:tcW w:w="1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20.49%</w:t>
            </w:r>
          </w:p>
        </w:tc>
      </w:tr>
    </w:tbl>
    <w:p>
      <w:pPr>
        <w:widowControl/>
        <w:jc w:val="left"/>
        <w:rPr>
          <w:rFonts w:asciiTheme="minorEastAsia" w:hAnsiTheme="minorEastAsia"/>
          <w:sz w:val="24"/>
          <w:szCs w:val="24"/>
        </w:rPr>
      </w:pPr>
    </w:p>
    <w:p>
      <w:pPr>
        <w:widowControl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sz w:val="24"/>
          <w:szCs w:val="24"/>
        </w:rPr>
        <w:br w:type="page"/>
      </w:r>
    </w:p>
    <w:p>
      <w:pPr>
        <w:widowControl/>
        <w:jc w:val="left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附件2：深市各行业公司高研发强度及支出中位数统计</w:t>
      </w:r>
    </w:p>
    <w:p>
      <w:pPr>
        <w:widowControl/>
        <w:jc w:val="left"/>
        <w:rPr>
          <w:rFonts w:asciiTheme="minorEastAsia" w:hAnsiTheme="minorEastAsia"/>
          <w:sz w:val="24"/>
          <w:szCs w:val="24"/>
        </w:rPr>
      </w:pPr>
    </w:p>
    <w:tbl>
      <w:tblPr>
        <w:tblStyle w:val="3"/>
        <w:tblW w:w="7528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2"/>
        <w:gridCol w:w="1502"/>
        <w:gridCol w:w="2256"/>
        <w:gridCol w:w="2268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b/>
                <w:bCs/>
                <w:kern w:val="0"/>
                <w:szCs w:val="21"/>
              </w:rPr>
            </w:pPr>
            <w:r>
              <w:rPr>
                <w:rFonts w:hint="eastAsia" w:cs="Arial" w:asciiTheme="minorEastAsia" w:hAnsiTheme="minorEastAsia"/>
                <w:b/>
                <w:bCs/>
                <w:kern w:val="0"/>
                <w:szCs w:val="21"/>
              </w:rPr>
              <w:t>行业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b/>
                <w:bCs/>
                <w:kern w:val="0"/>
                <w:szCs w:val="21"/>
              </w:rPr>
            </w:pPr>
            <w:r>
              <w:rPr>
                <w:rFonts w:hint="eastAsia" w:cs="Arial" w:asciiTheme="minorEastAsia" w:hAnsiTheme="minorEastAsia"/>
                <w:b/>
                <w:bCs/>
                <w:kern w:val="0"/>
                <w:szCs w:val="21"/>
              </w:rPr>
              <w:t>上市公司数</w:t>
            </w:r>
          </w:p>
        </w:tc>
        <w:tc>
          <w:tcPr>
            <w:tcW w:w="22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b/>
                <w:bCs/>
                <w:kern w:val="0"/>
                <w:szCs w:val="21"/>
              </w:rPr>
            </w:pPr>
            <w:r>
              <w:rPr>
                <w:rFonts w:hint="eastAsia" w:cs="Arial" w:asciiTheme="minorEastAsia" w:hAnsiTheme="minorEastAsia"/>
                <w:b/>
                <w:bCs/>
                <w:kern w:val="0"/>
                <w:szCs w:val="21"/>
              </w:rPr>
              <w:t>强度超过</w:t>
            </w:r>
            <w:r>
              <w:rPr>
                <w:rFonts w:cs="Arial" w:asciiTheme="minorEastAsia" w:hAnsiTheme="minorEastAsia"/>
                <w:b/>
                <w:bCs/>
                <w:kern w:val="0"/>
                <w:szCs w:val="21"/>
              </w:rPr>
              <w:t>5%</w:t>
            </w:r>
            <w:r>
              <w:rPr>
                <w:rFonts w:hint="eastAsia" w:cs="Arial" w:asciiTheme="minorEastAsia" w:hAnsiTheme="minorEastAsia"/>
                <w:b/>
                <w:bCs/>
                <w:kern w:val="0"/>
                <w:szCs w:val="21"/>
              </w:rPr>
              <w:t>数量</w:t>
            </w:r>
          </w:p>
        </w:tc>
        <w:tc>
          <w:tcPr>
            <w:tcW w:w="22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cs="Arial" w:asciiTheme="minorEastAsia" w:hAnsiTheme="minorEastAsia"/>
                <w:b/>
                <w:bCs/>
                <w:kern w:val="0"/>
                <w:szCs w:val="21"/>
              </w:rPr>
            </w:pPr>
            <w:r>
              <w:rPr>
                <w:rFonts w:hint="eastAsia" w:cs="Arial" w:asciiTheme="minorEastAsia" w:hAnsiTheme="minorEastAsia"/>
                <w:b/>
                <w:bCs/>
                <w:kern w:val="0"/>
                <w:szCs w:val="21"/>
              </w:rPr>
              <w:t>研发支出中位数</w:t>
            </w:r>
          </w:p>
          <w:p>
            <w:pPr>
              <w:widowControl/>
              <w:jc w:val="center"/>
              <w:rPr>
                <w:rFonts w:cs="Arial" w:asciiTheme="minorEastAsia" w:hAnsiTheme="minorEastAsia"/>
                <w:b/>
                <w:bCs/>
                <w:kern w:val="0"/>
                <w:szCs w:val="21"/>
              </w:rPr>
            </w:pPr>
            <w:r>
              <w:rPr>
                <w:rFonts w:hint="eastAsia" w:cs="Arial" w:asciiTheme="minorEastAsia" w:hAnsiTheme="minorEastAsia"/>
                <w:b/>
                <w:bCs/>
                <w:color w:val="000000"/>
                <w:kern w:val="0"/>
                <w:szCs w:val="21"/>
              </w:rPr>
              <w:t>（单位：亿元）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计算机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173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138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1.17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机械设备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239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123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0.53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医药生物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198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95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0.70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电子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190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92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0.97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电气设备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126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58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0.71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通信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72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47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0.82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化工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223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46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0.57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传媒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115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39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0.64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国防军工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43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33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0.99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汽车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89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28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0.73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建筑装饰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72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11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0.83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有色金属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57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11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0.71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公用事业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89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9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0.38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家用电器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42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7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1.62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轻工制造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71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7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0.49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农林牧渔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54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5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0.36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综合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10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0.58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交通运输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39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0.18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采掘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22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0.24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房地产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62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0.33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纺织服装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45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0.46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非银金融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30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0.22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商业贸易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36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0.14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食品饮料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47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0.34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钢铁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15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0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10.27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建筑材料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45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0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0.59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休闲服务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19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0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0.18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50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银行</w:t>
            </w:r>
          </w:p>
        </w:tc>
        <w:tc>
          <w:tcPr>
            <w:tcW w:w="15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8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>0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Arial" w:asciiTheme="minorEastAsia" w:hAnsiTheme="minorEastAsia"/>
                <w:kern w:val="0"/>
                <w:szCs w:val="21"/>
              </w:rPr>
            </w:pPr>
            <w:r>
              <w:rPr>
                <w:rFonts w:cs="Arial" w:asciiTheme="minorEastAsia" w:hAnsiTheme="minorEastAsia"/>
                <w:kern w:val="0"/>
                <w:szCs w:val="21"/>
              </w:rPr>
              <w:t xml:space="preserve">0.00 </w:t>
            </w:r>
          </w:p>
        </w:tc>
      </w:tr>
    </w:tbl>
    <w:p>
      <w:pPr>
        <w:spacing w:line="360" w:lineRule="auto"/>
        <w:jc w:val="left"/>
        <w:rPr>
          <w:rFonts w:asciiTheme="minorEastAsia" w:hAnsiTheme="minorEastAsia"/>
          <w:sz w:val="24"/>
          <w:szCs w:val="24"/>
        </w:rPr>
      </w:pPr>
    </w:p>
    <w:p>
      <w:bookmarkStart w:id="0" w:name="_GoBack"/>
      <w:bookmarkEnd w:id="0"/>
    </w:p>
    <w:sectPr>
      <w:footerReference r:id="rId3" w:type="default"/>
      <w:pgSz w:w="11906" w:h="16838"/>
      <w:pgMar w:top="1440" w:right="1797" w:bottom="1440" w:left="1797" w:header="851" w:footer="992" w:gutter="0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59418448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C331FBE"/>
    <w:rsid w:val="0C331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Office_11.8.2.8555_F1E327BC-269C-435d-A152-05C5408002CA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2020-06-10T07:22:00Z</dcterms:created>
  <dc:creator>yxiao03.oth</dc:creator>
  <cp:lastModifiedBy>yxiao03.oth</cp:lastModifiedBy>
  <dcterms:modified xsi:type="dcterms:W3CDTF">2020-06-10T07:28:44Z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2052-11.8.2.8555</vt:lpwstr>
  </property>
</Properties>
</file>